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contextualSpacing/>
        <w:jc w:val="center"/>
        <w:rPr/>
      </w:pPr>
      <w:r>
        <w:rPr/>
        <w:t>КОНТРОЛЬНО-СЧЕТНЫЙ ОРГАН</w:t>
      </w:r>
    </w:p>
    <w:p>
      <w:pPr>
        <w:pStyle w:val="Normal"/>
        <w:spacing w:before="0" w:after="0"/>
        <w:contextualSpacing/>
        <w:jc w:val="center"/>
        <w:rPr/>
      </w:pPr>
      <w:r>
        <w:rPr/>
        <w:t>МУНИЦИПАЛЬНОГО ОБРАЗОВАНИЯ</w:t>
      </w:r>
    </w:p>
    <w:p>
      <w:pPr>
        <w:pStyle w:val="Normal"/>
        <w:spacing w:before="0" w:after="0"/>
        <w:contextualSpacing/>
        <w:jc w:val="center"/>
        <w:rPr/>
      </w:pPr>
      <w:r>
        <w:rPr/>
        <w:t>«ПОЛТАВСКИЙ МУНИЦИПАЛЬНЫЙ РАЙОН ОМСКОЙ ОБЛАСТИ»</w:t>
      </w:r>
    </w:p>
    <w:p>
      <w:pPr>
        <w:pStyle w:val="Normal"/>
        <w:spacing w:before="0" w:after="0"/>
        <w:contextualSpacing/>
        <w:jc w:val="center"/>
        <w:rPr/>
      </w:pPr>
      <w:r>
        <w:rPr/>
      </w:r>
    </w:p>
    <w:p>
      <w:pPr>
        <w:pStyle w:val="Normal"/>
        <w:spacing w:before="0" w:after="0"/>
        <w:contextualSpacing/>
        <w:jc w:val="both"/>
        <w:rPr/>
      </w:pPr>
      <w:r>
        <w:rPr/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ЗАКЛЮЧЕНИЕ № </w:t>
      </w:r>
      <w:r>
        <w:rPr>
          <w:rFonts w:eastAsia="Calibri"/>
          <w:b/>
          <w:lang w:eastAsia="en-US"/>
        </w:rPr>
        <w:t>14</w:t>
      </w:r>
    </w:p>
    <w:p>
      <w:pPr>
        <w:pStyle w:val="Normal"/>
        <w:spacing w:lineRule="auto" w:line="276" w:before="0" w:after="200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результатах экспертно-аналитического мероприятия «Внешняя проверка годового отчета   об исполнении бюджета </w:t>
      </w:r>
      <w:r>
        <w:rPr>
          <w:b/>
          <w:color w:val="auto"/>
        </w:rPr>
        <w:t>Новоильинов</w:t>
      </w:r>
      <w:r>
        <w:rPr>
          <w:rFonts w:eastAsia="Calibri"/>
          <w:b/>
          <w:color w:val="auto"/>
          <w:lang w:eastAsia="en-US"/>
        </w:rPr>
        <w:t xml:space="preserve">ского </w:t>
      </w:r>
      <w:r>
        <w:rPr>
          <w:rFonts w:eastAsia="Calibri"/>
          <w:b/>
          <w:lang w:eastAsia="en-US"/>
        </w:rPr>
        <w:t>сельского поселения Полтавского муниципального района  за 202</w:t>
      </w:r>
      <w:r>
        <w:rPr>
          <w:rFonts w:eastAsia="Calibri"/>
          <w:b/>
          <w:lang w:eastAsia="en-US"/>
        </w:rPr>
        <w:t>4</w:t>
      </w:r>
      <w:r>
        <w:rPr>
          <w:rFonts w:eastAsia="Calibri"/>
          <w:b/>
          <w:lang w:eastAsia="en-US"/>
        </w:rPr>
        <w:t xml:space="preserve"> год».</w:t>
      </w:r>
    </w:p>
    <w:p>
      <w:pPr>
        <w:pStyle w:val="Normal"/>
        <w:spacing w:lineRule="auto" w:line="276" w:before="0" w:after="200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</w:t>
      </w:r>
      <w:r>
        <w:rPr>
          <w:rFonts w:eastAsia="Calibri"/>
          <w:lang w:eastAsia="en-US"/>
        </w:rPr>
        <w:t>ар</w:t>
      </w:r>
      <w:r>
        <w:rPr>
          <w:rFonts w:eastAsia="Calibri"/>
          <w:lang w:eastAsia="en-US"/>
        </w:rPr>
        <w:t>та</w:t>
      </w:r>
      <w:r>
        <w:rPr>
          <w:rFonts w:eastAsia="Calibri"/>
          <w:lang w:eastAsia="en-US"/>
        </w:rPr>
        <w:t xml:space="preserve"> 202</w:t>
      </w:r>
      <w:r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г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>Основание для проведения:</w:t>
      </w:r>
      <w:r>
        <w:rPr>
          <w:color w:val="333333"/>
        </w:rPr>
        <w:t xml:space="preserve"> статья 264.4 Бюджетного кодекса Российской Федерации, статья 22 Положения «О бюджетном процессе в  Новоильиновском сельском поселении», утвержденного решением Совета депутатов Новоильиновского сельского поселения от 28.04.2022 № 20 (далее - Положение о бюджетном процессе), статья 8 Положения «О Контрольно-счетном органе муниципального образования «Полтавский муниципальный район», утвержденная решением Совета  от 31.01.2022 №3, пункт 2.</w:t>
      </w:r>
      <w:r>
        <w:rPr>
          <w:color w:val="333333"/>
        </w:rPr>
        <w:t>3</w:t>
      </w:r>
      <w:r>
        <w:rPr>
          <w:color w:val="333333"/>
        </w:rPr>
        <w:t xml:space="preserve"> плана работы Контрольно-счетной органа муниципального образования на 202</w:t>
      </w:r>
      <w:r>
        <w:rPr>
          <w:color w:val="333333"/>
        </w:rPr>
        <w:t>5</w:t>
      </w:r>
      <w:r>
        <w:rPr>
          <w:color w:val="333333"/>
        </w:rPr>
        <w:t xml:space="preserve"> год, Соглашения о передаче полномочий внешнего муниципального финансового контроля.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 xml:space="preserve">Цель проведения внешней проверки: </w:t>
      </w:r>
      <w:r>
        <w:rPr>
          <w:b w:val="false"/>
          <w:bCs w:val="false"/>
          <w:i w:val="false"/>
          <w:iCs w:val="false"/>
          <w:color w:val="333333"/>
        </w:rPr>
        <w:t xml:space="preserve">анализ </w:t>
      </w:r>
      <w:r>
        <w:rPr>
          <w:bCs/>
          <w:iCs/>
          <w:color w:val="333333"/>
        </w:rPr>
        <w:t>соответстви</w:t>
      </w:r>
      <w:r>
        <w:rPr>
          <w:bCs/>
          <w:iCs/>
          <w:color w:val="333333"/>
        </w:rPr>
        <w:t>я</w:t>
      </w:r>
      <w:r>
        <w:rPr>
          <w:bCs/>
          <w:iCs/>
          <w:color w:val="333333"/>
        </w:rPr>
        <w:t xml:space="preserve"> годового отчета об исполнении бюджета </w:t>
      </w:r>
      <w:r>
        <w:rPr>
          <w:color w:val="333333"/>
        </w:rPr>
        <w:t>Новоильинов</w:t>
      </w:r>
      <w:r>
        <w:rPr>
          <w:bCs/>
          <w:iCs/>
          <w:color w:val="333333"/>
        </w:rPr>
        <w:t>ского сельского поселения требованиям бюджетного законодательства и инструкции «</w:t>
      </w:r>
      <w:r>
        <w:rPr>
          <w:color w:val="333333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Федерации» от 28.12.2010 № 191н.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>Предмет проверки:</w:t>
      </w:r>
      <w:r>
        <w:rPr>
          <w:color w:val="333333"/>
        </w:rPr>
        <w:t xml:space="preserve"> Отчет об исполнении местного бюджета.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 xml:space="preserve">Проверяемый период: </w:t>
      </w:r>
      <w:r>
        <w:rPr>
          <w:color w:val="333333"/>
        </w:rPr>
        <w:t>202</w:t>
      </w:r>
      <w:r>
        <w:rPr>
          <w:color w:val="333333"/>
        </w:rPr>
        <w:t>4</w:t>
      </w:r>
      <w:r>
        <w:rPr>
          <w:color w:val="333333"/>
        </w:rPr>
        <w:t xml:space="preserve"> год.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 xml:space="preserve">Объект проверки: </w:t>
      </w:r>
      <w:r>
        <w:rPr>
          <w:color w:val="333333"/>
        </w:rPr>
        <w:t>Новоильиновское сельское поселение Полтавского муниципального района.</w:t>
      </w:r>
    </w:p>
    <w:p>
      <w:pPr>
        <w:pStyle w:val="Normal"/>
        <w:ind w:firstLine="709"/>
        <w:jc w:val="both"/>
        <w:rPr/>
      </w:pPr>
      <w:r>
        <w:rPr>
          <w:b/>
          <w:bCs/>
          <w:i/>
          <w:iCs/>
          <w:color w:val="333333"/>
        </w:rPr>
        <w:t>Срок проведения проверки:</w:t>
      </w:r>
      <w:r>
        <w:rPr>
          <w:color w:val="333333"/>
        </w:rPr>
        <w:t xml:space="preserve"> с 2</w:t>
      </w:r>
      <w:r>
        <w:rPr>
          <w:color w:val="333333"/>
        </w:rPr>
        <w:t>5</w:t>
      </w:r>
      <w:r>
        <w:rPr>
          <w:color w:val="333333"/>
        </w:rPr>
        <w:t>.0</w:t>
      </w:r>
      <w:r>
        <w:rPr>
          <w:color w:val="333333"/>
        </w:rPr>
        <w:t>3</w:t>
      </w:r>
      <w:r>
        <w:rPr>
          <w:color w:val="333333"/>
        </w:rPr>
        <w:t>.202</w:t>
      </w:r>
      <w:r>
        <w:rPr>
          <w:color w:val="333333"/>
        </w:rPr>
        <w:t>5</w:t>
      </w:r>
      <w:r>
        <w:rPr>
          <w:color w:val="333333"/>
        </w:rPr>
        <w:t xml:space="preserve">г. по </w:t>
      </w:r>
      <w:r>
        <w:rPr>
          <w:color w:val="333333"/>
        </w:rPr>
        <w:t>26</w:t>
      </w:r>
      <w:r>
        <w:rPr>
          <w:color w:val="333333"/>
        </w:rPr>
        <w:t>.0</w:t>
      </w:r>
      <w:r>
        <w:rPr>
          <w:color w:val="333333"/>
        </w:rPr>
        <w:t>3</w:t>
      </w:r>
      <w:r>
        <w:rPr>
          <w:color w:val="333333"/>
        </w:rPr>
        <w:t>.202</w:t>
      </w:r>
      <w:r>
        <w:rPr>
          <w:color w:val="333333"/>
        </w:rPr>
        <w:t>5</w:t>
      </w:r>
      <w:r>
        <w:rPr>
          <w:color w:val="333333"/>
        </w:rPr>
        <w:t>г.</w:t>
      </w:r>
    </w:p>
    <w:p>
      <w:pPr>
        <w:pStyle w:val="Normal"/>
        <w:ind w:firstLine="709"/>
        <w:jc w:val="both"/>
        <w:rPr/>
      </w:pPr>
      <w:r>
        <w:rPr/>
        <w:t> </w:t>
      </w:r>
    </w:p>
    <w:p>
      <w:pPr>
        <w:pStyle w:val="Normal"/>
        <w:numPr>
          <w:ilvl w:val="0"/>
          <w:numId w:val="1"/>
        </w:numPr>
        <w:spacing w:lineRule="auto" w:line="276" w:before="0" w:after="200"/>
        <w:ind w:hanging="0" w:left="0"/>
        <w:contextualSpacing/>
        <w:jc w:val="center"/>
        <w:rPr/>
      </w:pPr>
      <w:r>
        <w:rPr>
          <w:rFonts w:eastAsia="Calibri"/>
          <w:b/>
          <w:lang w:eastAsia="en-US"/>
        </w:rPr>
        <w:t>Общие положения</w:t>
      </w:r>
    </w:p>
    <w:p>
      <w:pPr>
        <w:pStyle w:val="Normal"/>
        <w:ind w:firstLine="709"/>
        <w:jc w:val="both"/>
        <w:rPr>
          <w:color w:val="auto"/>
        </w:rPr>
      </w:pPr>
      <w:r>
        <w:rPr>
          <w:color w:val="auto"/>
        </w:rPr>
        <w:t>Заключение подготовлено на основании результатов проверки годовой бюджетной отчетности за 202</w:t>
      </w:r>
      <w:r>
        <w:rPr>
          <w:color w:val="auto"/>
        </w:rPr>
        <w:t>4</w:t>
      </w:r>
      <w:r>
        <w:rPr>
          <w:color w:val="auto"/>
        </w:rPr>
        <w:t xml:space="preserve">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Новоильиновского сельского поселения (Заключение № </w:t>
      </w:r>
      <w:r>
        <w:rPr>
          <w:color w:val="auto"/>
        </w:rPr>
        <w:t>13</w:t>
      </w:r>
      <w:r>
        <w:rPr>
          <w:color w:val="auto"/>
        </w:rPr>
        <w:t xml:space="preserve"> от  2</w:t>
      </w:r>
      <w:r>
        <w:rPr>
          <w:color w:val="auto"/>
        </w:rPr>
        <w:t>6</w:t>
      </w:r>
      <w:r>
        <w:rPr>
          <w:color w:val="auto"/>
        </w:rPr>
        <w:t>.0</w:t>
      </w:r>
      <w:r>
        <w:rPr>
          <w:color w:val="auto"/>
        </w:rPr>
        <w:t>3</w:t>
      </w:r>
      <w:r>
        <w:rPr>
          <w:color w:val="auto"/>
        </w:rPr>
        <w:t>.202</w:t>
      </w:r>
      <w:r>
        <w:rPr>
          <w:color w:val="auto"/>
        </w:rPr>
        <w:t>5</w:t>
      </w:r>
      <w:r>
        <w:rPr>
          <w:color w:val="auto"/>
        </w:rPr>
        <w:t xml:space="preserve"> г).</w:t>
      </w:r>
    </w:p>
    <w:p>
      <w:pPr>
        <w:pStyle w:val="Normal"/>
        <w:ind w:firstLine="709"/>
        <w:jc w:val="both"/>
        <w:rPr/>
      </w:pPr>
      <w:r>
        <w:rPr/>
        <w:t>Согласно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>
      <w:pPr>
        <w:pStyle w:val="Normal"/>
        <w:ind w:firstLine="709"/>
        <w:jc w:val="both"/>
        <w:rPr/>
      </w:pPr>
      <w:r>
        <w:rPr>
          <w:b/>
          <w:bCs/>
        </w:rPr>
        <w:t> </w:t>
      </w:r>
      <w:r>
        <w:rPr>
          <w:rFonts w:eastAsia="Calibri"/>
          <w:lang w:eastAsia="en-US"/>
        </w:rPr>
        <w:t xml:space="preserve">Годовой отчет об исполнении бюджета </w:t>
      </w:r>
      <w:r>
        <w:rPr>
          <w:color w:val="333333"/>
        </w:rPr>
        <w:t>Новоильинов</w:t>
      </w:r>
      <w:r>
        <w:rPr>
          <w:rFonts w:eastAsia="Calibri"/>
          <w:lang w:eastAsia="en-US"/>
        </w:rPr>
        <w:t>ского  сельского поселения  за 202</w:t>
      </w:r>
      <w:r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год (далее – бюджет поселения) поступил в Контрольно-счетный орган муниципального образования «Полтавский муниципальный район Омской области» (далее  контрольно-счетный  орган) в срок до 01 апреля,  на бумажном  носителе, согласно пункта 3 статьи 264.4  Бюджетного Кодекса Российской Федерации.</w:t>
      </w:r>
    </w:p>
    <w:p>
      <w:pPr>
        <w:pStyle w:val="Normal"/>
        <w:ind w:firstLine="709"/>
        <w:jc w:val="both"/>
        <w:rPr/>
      </w:pPr>
      <w:r>
        <w:rPr/>
        <w:t>Вместе с годовым отчетом об исполнении бюджета представлен  проект решения об исполнении бюджета с приложениями, который   соответствует требованиям статьи 264.6 БК РФ.</w:t>
      </w:r>
    </w:p>
    <w:p>
      <w:pPr>
        <w:pStyle w:val="ListParagraph"/>
        <w:widowControl w:val="false"/>
        <w:numPr>
          <w:ilvl w:val="0"/>
          <w:numId w:val="0"/>
        </w:numPr>
        <w:ind w:hanging="0" w:left="927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Анализ исполнения основных характеристик бюджета  </w:t>
      </w:r>
      <w:r>
        <w:rPr>
          <w:rFonts w:ascii="Times New Roman" w:hAnsi="Times New Roman"/>
          <w:b/>
          <w:color w:val="333333"/>
          <w:sz w:val="24"/>
          <w:szCs w:val="24"/>
        </w:rPr>
        <w:t>Новоильино</w:t>
      </w:r>
      <w:r>
        <w:rPr>
          <w:rFonts w:ascii="Times New Roman" w:hAnsi="Times New Roman"/>
          <w:b/>
          <w:color w:val="333333"/>
        </w:rPr>
        <w:t>в</w:t>
      </w:r>
      <w:r>
        <w:rPr>
          <w:rFonts w:ascii="Times New Roman" w:hAnsi="Times New Roman"/>
          <w:b/>
          <w:sz w:val="24"/>
          <w:szCs w:val="24"/>
        </w:rPr>
        <w:t>ского сельского поселения  в 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году.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>
        <w:rPr>
          <w:rFonts w:ascii="Times New Roman" w:hAnsi="Times New Roman"/>
          <w:color w:val="333333"/>
        </w:rPr>
        <w:t>Новоильин</w:t>
      </w:r>
      <w:r>
        <w:rPr>
          <w:rFonts w:ascii="Times New Roman" w:hAnsi="Times New Roman"/>
          <w:color w:val="333333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ского сельского поселения  от </w:t>
      </w:r>
      <w:r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 54 «О бюджете </w:t>
      </w:r>
      <w:r>
        <w:rPr>
          <w:rFonts w:ascii="Times New Roman" w:hAnsi="Times New Roman"/>
          <w:color w:val="333333"/>
        </w:rPr>
        <w:t>Новоильин</w:t>
      </w:r>
      <w:r>
        <w:rPr>
          <w:rFonts w:ascii="Times New Roman" w:hAnsi="Times New Roman"/>
          <w:color w:val="333333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ского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: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 общий объем доходов поселения в сумме </w:t>
      </w:r>
      <w:r>
        <w:rPr>
          <w:rFonts w:ascii="Times New Roman" w:hAnsi="Times New Roman"/>
          <w:sz w:val="24"/>
          <w:szCs w:val="24"/>
        </w:rPr>
        <w:t>8 926 942,15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>
        <w:rPr>
          <w:rFonts w:ascii="Times New Roman" w:hAnsi="Times New Roman"/>
          <w:sz w:val="24"/>
          <w:szCs w:val="24"/>
        </w:rPr>
        <w:t>8 926 942,15</w:t>
      </w:r>
      <w:r>
        <w:rPr>
          <w:rFonts w:ascii="Times New Roman" w:hAnsi="Times New Roman"/>
          <w:sz w:val="24"/>
          <w:szCs w:val="24"/>
        </w:rPr>
        <w:t>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сумму </w:t>
      </w:r>
      <w:r>
        <w:rPr>
          <w:rFonts w:ascii="Times New Roman" w:hAnsi="Times New Roman"/>
          <w:sz w:val="24"/>
          <w:szCs w:val="24"/>
        </w:rPr>
        <w:t xml:space="preserve">9 134 113,38 </w:t>
      </w:r>
      <w:r>
        <w:rPr>
          <w:rFonts w:ascii="Times New Roman" w:hAnsi="Times New Roman"/>
          <w:sz w:val="24"/>
          <w:szCs w:val="24"/>
        </w:rPr>
        <w:t xml:space="preserve">рублей, в сторону увеличения по расходам на </w:t>
      </w:r>
      <w:r>
        <w:rPr>
          <w:rFonts w:ascii="Times New Roman" w:hAnsi="Times New Roman"/>
          <w:sz w:val="24"/>
          <w:szCs w:val="24"/>
        </w:rPr>
        <w:t>9 078 137,12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решениями Совета депутатов </w:t>
      </w:r>
      <w:r>
        <w:rPr>
          <w:rFonts w:ascii="Times New Roman" w:hAnsi="Times New Roman"/>
          <w:color w:val="333333"/>
        </w:rPr>
        <w:t>Новоильин</w:t>
      </w:r>
      <w:r>
        <w:rPr>
          <w:rFonts w:ascii="Times New Roman" w:hAnsi="Times New Roman"/>
          <w:color w:val="333333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ского сельского поселения утверждены: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  общий объем доходов бюджета  поселения в сумме </w:t>
      </w:r>
      <w:r>
        <w:rPr>
          <w:rFonts w:ascii="Times New Roman" w:hAnsi="Times New Roman"/>
          <w:sz w:val="24"/>
          <w:szCs w:val="24"/>
        </w:rPr>
        <w:t>18 061 055,53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>
        <w:rPr>
          <w:rFonts w:ascii="Times New Roman" w:hAnsi="Times New Roman"/>
          <w:sz w:val="24"/>
          <w:szCs w:val="24"/>
        </w:rPr>
        <w:t>18 005 079,27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</w:t>
      </w: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 xml:space="preserve">фицит бюджета поселения </w:t>
      </w:r>
      <w:r>
        <w:rPr>
          <w:rFonts w:ascii="Times New Roman" w:hAnsi="Times New Roman"/>
          <w:sz w:val="24"/>
          <w:szCs w:val="24"/>
        </w:rPr>
        <w:t>55 976,26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исполнение бюджета поселения по данным ф.0503117, Проекта решения об исполнении бюджета за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по доходам составило </w:t>
      </w:r>
      <w:r>
        <w:rPr>
          <w:rFonts w:ascii="Times New Roman" w:hAnsi="Times New Roman"/>
          <w:sz w:val="24"/>
          <w:szCs w:val="24"/>
        </w:rPr>
        <w:t>18 320 310,03</w:t>
      </w:r>
      <w:r>
        <w:rPr>
          <w:rFonts w:ascii="Times New Roman" w:hAnsi="Times New Roman"/>
          <w:sz w:val="24"/>
          <w:szCs w:val="24"/>
        </w:rPr>
        <w:t xml:space="preserve"> рублей ( </w:t>
      </w:r>
      <w:r>
        <w:rPr>
          <w:rFonts w:ascii="Times New Roman" w:hAnsi="Times New Roman"/>
          <w:sz w:val="24"/>
          <w:szCs w:val="24"/>
        </w:rPr>
        <w:t>101,44</w:t>
      </w:r>
      <w:r>
        <w:rPr>
          <w:rFonts w:ascii="Times New Roman" w:hAnsi="Times New Roman"/>
          <w:sz w:val="24"/>
          <w:szCs w:val="24"/>
        </w:rPr>
        <w:t xml:space="preserve">% уточненного плана) , по расходам </w:t>
      </w:r>
      <w:r>
        <w:rPr>
          <w:rFonts w:ascii="Times New Roman" w:hAnsi="Times New Roman"/>
          <w:sz w:val="24"/>
          <w:szCs w:val="24"/>
        </w:rPr>
        <w:t>17 747 980,88</w:t>
      </w:r>
      <w:r>
        <w:rPr>
          <w:rFonts w:ascii="Times New Roman" w:hAnsi="Times New Roman"/>
          <w:sz w:val="24"/>
          <w:szCs w:val="24"/>
        </w:rPr>
        <w:t xml:space="preserve"> (9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% от уточненного плана).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бюджета поселения на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right"/>
        <w:rPr/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f2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94"/>
        <w:gridCol w:w="2391"/>
        <w:gridCol w:w="2394"/>
        <w:gridCol w:w="2390"/>
      </w:tblGrid>
      <w:tr>
        <w:trPr/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2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Утверждено Решением о бюджете на 202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 xml:space="preserve"> год, рублей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Исполнено,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jc w:val="both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Проект решения об исполнении бюджета за 202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 xml:space="preserve"> год</w:t>
            </w:r>
          </w:p>
        </w:tc>
        <w:tc>
          <w:tcPr>
            <w:tcW w:w="23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Процент исполнения , %</w:t>
            </w:r>
          </w:p>
        </w:tc>
      </w:tr>
      <w:tr>
        <w:trPr/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Доходы</w:t>
            </w:r>
          </w:p>
        </w:tc>
        <w:tc>
          <w:tcPr>
            <w:tcW w:w="239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18 061 055,53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18 320 310,03</w:t>
            </w:r>
          </w:p>
        </w:tc>
        <w:tc>
          <w:tcPr>
            <w:tcW w:w="2390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101,44</w:t>
            </w:r>
          </w:p>
        </w:tc>
      </w:tr>
      <w:tr>
        <w:trPr/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Расходы</w:t>
            </w:r>
          </w:p>
        </w:tc>
        <w:tc>
          <w:tcPr>
            <w:tcW w:w="239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18 005 079,27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17 747 980,88</w:t>
            </w:r>
          </w:p>
        </w:tc>
        <w:tc>
          <w:tcPr>
            <w:tcW w:w="2390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98,57</w:t>
            </w:r>
          </w:p>
        </w:tc>
      </w:tr>
      <w:tr>
        <w:trPr/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Дефицит (-)/ профицит (+)</w:t>
            </w:r>
          </w:p>
        </w:tc>
        <w:tc>
          <w:tcPr>
            <w:tcW w:w="239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55 976,26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572 329,15</w:t>
            </w:r>
          </w:p>
        </w:tc>
        <w:tc>
          <w:tcPr>
            <w:tcW w:w="2390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center"/>
              <w:textAlignment w:val="baseline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vertAlign w:val="baseline"/>
                <w:lang w:val="ru-RU" w:eastAsia="ru-RU" w:bidi="ar-SA"/>
              </w:rPr>
              <w:t>х</w:t>
            </w:r>
          </w:p>
        </w:tc>
      </w:tr>
    </w:tbl>
    <w:p>
      <w:pPr>
        <w:pStyle w:val="ListParagraph"/>
        <w:widowControl w:val="false"/>
        <w:ind w:hanging="0"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2"/>
        </w:numPr>
        <w:spacing w:before="0" w:after="0"/>
        <w:ind w:hanging="360" w:left="927" w:right="-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доходной  части бюджета поселения за 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Структура доходных источников местного бюджета состоит из поступлений налоговых и неналоговых доходов </w:t>
      </w:r>
      <w:r>
        <w:rPr/>
        <w:t>28,49</w:t>
      </w:r>
      <w:r>
        <w:rPr>
          <w:color w:val="000000"/>
          <w:shd w:fill="auto" w:val="clear"/>
        </w:rPr>
        <w:t xml:space="preserve">% от общего объема доходов и безвозмездных поступлений </w:t>
      </w:r>
      <w:r>
        <w:rPr>
          <w:color w:val="000000"/>
          <w:shd w:fill="auto" w:val="clear"/>
        </w:rPr>
        <w:t>71,51</w:t>
      </w:r>
      <w:r>
        <w:rPr>
          <w:color w:val="000000"/>
          <w:shd w:fill="auto" w:val="clear"/>
        </w:rPr>
        <w:t>%.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по основным источникам поступлений представлена в таблице:                                                Таблица 2</w:t>
      </w:r>
    </w:p>
    <w:tbl>
      <w:tblPr>
        <w:tblStyle w:val="af2"/>
        <w:tblW w:w="9604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12"/>
        <w:gridCol w:w="1559"/>
        <w:gridCol w:w="1573"/>
        <w:gridCol w:w="1428"/>
        <w:gridCol w:w="1532"/>
      </w:tblGrid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Наименование показателя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Утверждено Решением о бюджете на 202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 xml:space="preserve"> год , рублей</w:t>
            </w:r>
          </w:p>
        </w:tc>
        <w:tc>
          <w:tcPr>
            <w:tcW w:w="1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Исполнено,</w:t>
            </w:r>
          </w:p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Проект решения об исполнении бюджета за 202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 xml:space="preserve"> год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Процент исполнения , %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Удельный вес , в общем объеме доходов, %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kern w:val="0"/>
                <w:position w:val="0"/>
                <w:sz w:val="20"/>
                <w:sz w:val="20"/>
                <w:szCs w:val="20"/>
                <w:u w:val="single"/>
                <w:vertAlign w:val="baseline"/>
                <w:lang w:val="ru-RU" w:bidi="ar-SA"/>
              </w:rPr>
              <w:t>Налоговые и неналоговые доходы всего, в том числе: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4 959 673,51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5 218 928,01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105,23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28,49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Налоговые доходы всего, из них: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textAlignment w:val="baseline"/>
              <w:rPr>
                <w:rFonts w:ascii="Times New Roman" w:hAnsi="Times New Roman"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3 008 834,63</w:t>
            </w:r>
          </w:p>
        </w:tc>
        <w:tc>
          <w:tcPr>
            <w:tcW w:w="1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3 268 089,13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108,62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17,84</w:t>
            </w:r>
          </w:p>
        </w:tc>
      </w:tr>
      <w:tr>
        <w:trPr>
          <w:trHeight w:val="346" w:hRule="atLeast"/>
        </w:trPr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Налог</w:t>
            </w: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и на прибыль, доходы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560 806,69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762 443,11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135,95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4,15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Налоги на товары (работы, услуги) реализуемые на территории РФ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651 982,00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699 365,05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107,27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3,82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Налоги на совокупный доход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15 913,50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15 913,50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0,09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Налог</w:t>
            </w: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и</w:t>
            </w: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 xml:space="preserve"> на имущество 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1 778 832,44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1 789 067,47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100,58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9,77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Государственная пошлина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1 300,00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1 300,00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0,01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Неналоговые доходы всего, из них: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1 950 838,88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1 950 838,88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position w:val="0"/>
                <w:sz w:val="20"/>
                <w:sz w:val="20"/>
                <w:szCs w:val="20"/>
                <w:vertAlign w:val="baseline"/>
              </w:rPr>
              <w:t>10,65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1 192 260,47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1 192 260,47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6,51</w:t>
            </w:r>
          </w:p>
        </w:tc>
      </w:tr>
      <w:tr>
        <w:trPr>
          <w:trHeight w:val="414" w:hRule="atLeast"/>
        </w:trPr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210,00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210,00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0,00</w:t>
            </w:r>
          </w:p>
        </w:tc>
      </w:tr>
      <w:tr>
        <w:trPr>
          <w:trHeight w:val="414" w:hRule="atLeast"/>
        </w:trPr>
        <w:tc>
          <w:tcPr>
            <w:tcW w:w="3512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 xml:space="preserve">Штрафы, санкции, возмещение ущерба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180 002,08</w:t>
            </w:r>
          </w:p>
        </w:tc>
        <w:tc>
          <w:tcPr>
            <w:tcW w:w="1573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180 002,08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0,98</w:t>
            </w:r>
          </w:p>
        </w:tc>
      </w:tr>
      <w:tr>
        <w:trPr>
          <w:trHeight w:val="414" w:hRule="atLeast"/>
        </w:trPr>
        <w:tc>
          <w:tcPr>
            <w:tcW w:w="3512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 xml:space="preserve">Прочие неналоговые платежи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578 366,33</w:t>
            </w:r>
          </w:p>
        </w:tc>
        <w:tc>
          <w:tcPr>
            <w:tcW w:w="1573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578 366,33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3,16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u w:val="single"/>
                <w:vertAlign w:val="baseline"/>
                <w:lang w:val="ru-RU" w:bidi="ar-SA"/>
              </w:rPr>
              <w:t>Безвозмездные поступления  в том числе :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13 101 382,02</w:t>
            </w:r>
          </w:p>
        </w:tc>
        <w:tc>
          <w:tcPr>
            <w:tcW w:w="1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13 101 382,02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71,51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Дотации бюджетам сельских поселений а выравнивание бюджетной обеспеченности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4 539 463,15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4 539 463,15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24,77</w:t>
            </w:r>
          </w:p>
        </w:tc>
      </w:tr>
      <w:tr>
        <w:trPr>
          <w:trHeight w:val="543" w:hRule="atLeast"/>
        </w:trPr>
        <w:tc>
          <w:tcPr>
            <w:tcW w:w="3512" w:type="dxa"/>
            <w:tcBorders>
              <w:top w:val="nil"/>
            </w:tcBorders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Субсидии бюджетам на развитие транспортной инфраструктуры на сельских территориях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5 105 000,00</w:t>
            </w:r>
          </w:p>
        </w:tc>
        <w:tc>
          <w:tcPr>
            <w:tcW w:w="1573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5 105 000,00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27,87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176 839,00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176 839,00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0,97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Иные межбюджетные трансферты</w:t>
            </w:r>
          </w:p>
        </w:tc>
        <w:tc>
          <w:tcPr>
            <w:tcW w:w="155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3 280 079,87</w:t>
            </w:r>
          </w:p>
        </w:tc>
        <w:tc>
          <w:tcPr>
            <w:tcW w:w="1573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3 280 079,87</w:t>
            </w:r>
          </w:p>
        </w:tc>
        <w:tc>
          <w:tcPr>
            <w:tcW w:w="1428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17,90</w:t>
            </w:r>
          </w:p>
        </w:tc>
      </w:tr>
      <w:tr>
        <w:trPr/>
        <w:tc>
          <w:tcPr>
            <w:tcW w:w="3512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hanging="0" w:left="0" w:right="-1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bCs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ИТОГО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b/>
                <w:bCs/>
                <w:color w:val="auto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18 061 055,53</w:t>
            </w:r>
          </w:p>
        </w:tc>
        <w:tc>
          <w:tcPr>
            <w:tcW w:w="1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b/>
                <w:bCs/>
                <w:color w:val="auto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18 320 310,03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101,44</w:t>
            </w:r>
          </w:p>
        </w:tc>
        <w:tc>
          <w:tcPr>
            <w:tcW w:w="1532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both"/>
              <w:textAlignment w:val="baseline"/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0"/>
                <w:sz w:val="20"/>
                <w:szCs w:val="20"/>
                <w:vertAlign w:val="baseline"/>
              </w:rPr>
              <w:t>100,00</w:t>
            </w:r>
          </w:p>
        </w:tc>
      </w:tr>
    </w:tbl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Поступление налоговых и неналоговых доходов составило </w:t>
      </w:r>
      <w:r>
        <w:rPr>
          <w:rFonts w:ascii="Times New Roman" w:hAnsi="Times New Roman"/>
          <w:sz w:val="24"/>
          <w:szCs w:val="24"/>
        </w:rPr>
        <w:t xml:space="preserve">5 218 928,01 </w:t>
      </w:r>
      <w:r>
        <w:rPr>
          <w:rFonts w:ascii="Times New Roman" w:hAnsi="Times New Roman"/>
          <w:sz w:val="24"/>
          <w:szCs w:val="24"/>
        </w:rPr>
        <w:t xml:space="preserve">рублей, исполнение обеспечено на уровне </w:t>
      </w:r>
      <w:r>
        <w:rPr>
          <w:rFonts w:ascii="Times New Roman" w:hAnsi="Times New Roman"/>
          <w:sz w:val="24"/>
          <w:szCs w:val="24"/>
        </w:rPr>
        <w:t>105,23</w:t>
      </w:r>
      <w:r>
        <w:rPr>
          <w:rFonts w:ascii="Times New Roman" w:hAnsi="Times New Roman"/>
          <w:sz w:val="24"/>
          <w:szCs w:val="24"/>
        </w:rPr>
        <w:t>%.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Налоговые доходы имеет долю в группе налоговых и неналоговых доходов </w:t>
      </w:r>
      <w:r>
        <w:rPr>
          <w:rFonts w:ascii="Times New Roman" w:hAnsi="Times New Roman"/>
          <w:sz w:val="24"/>
          <w:szCs w:val="24"/>
        </w:rPr>
        <w:t>62,62</w:t>
      </w:r>
      <w:r>
        <w:rPr>
          <w:rFonts w:ascii="Times New Roman" w:hAnsi="Times New Roman"/>
          <w:sz w:val="24"/>
          <w:szCs w:val="24"/>
        </w:rPr>
        <w:t>%.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источником налоговых доходов бюджета поселения являются налог на имущество </w:t>
      </w:r>
      <w:r>
        <w:rPr>
          <w:rFonts w:ascii="Times New Roman" w:hAnsi="Times New Roman"/>
          <w:sz w:val="24"/>
          <w:szCs w:val="24"/>
        </w:rPr>
        <w:t>(доля в структуре налоговых доходов 54,74%) поступило в сумме 1 789 067,47 рублей (доля в структуре доходов 9,77%) или 100,58% плнового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поступление обеспечно </w:t>
      </w:r>
      <w:r>
        <w:rPr>
          <w:rFonts w:ascii="Times New Roman" w:hAnsi="Times New Roman"/>
          <w:sz w:val="24"/>
          <w:szCs w:val="24"/>
        </w:rPr>
        <w:t xml:space="preserve"> земельн</w:t>
      </w:r>
      <w:r>
        <w:rPr>
          <w:rFonts w:ascii="Times New Roman" w:hAnsi="Times New Roman"/>
          <w:sz w:val="24"/>
          <w:szCs w:val="24"/>
        </w:rPr>
        <w:t>ым налогом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сумме 1 760 634,42 рублей и налогом на имущество физических лиц в сумме 28 433,05 рублей;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Просроченная задолженность по платежам в бюджет составила </w:t>
      </w:r>
      <w:r>
        <w:rPr>
          <w:rFonts w:ascii="Times New Roman" w:hAnsi="Times New Roman"/>
          <w:i/>
          <w:iCs/>
          <w:sz w:val="24"/>
          <w:szCs w:val="24"/>
        </w:rPr>
        <w:t>266 458,28</w:t>
      </w:r>
      <w:r>
        <w:rPr>
          <w:rFonts w:ascii="Times New Roman" w:hAnsi="Times New Roman"/>
          <w:i/>
          <w:iCs/>
          <w:sz w:val="24"/>
          <w:szCs w:val="24"/>
        </w:rPr>
        <w:t xml:space="preserve"> рублей по земельному налогу и налогу на имущество (ГАД УФНС). 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налог на товары (работы, услуги) реализуемые на территории РФ, а именно акцизы по подакцизным товарам, </w:t>
      </w:r>
      <w:r>
        <w:rPr>
          <w:rFonts w:ascii="Times New Roman" w:hAnsi="Times New Roman"/>
          <w:sz w:val="24"/>
          <w:szCs w:val="24"/>
        </w:rPr>
        <w:t>поступил в сумме 699 365,05 рублей, или 107,27% планового значения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доля в структуре доходов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3,82</w:t>
      </w:r>
      <w:r>
        <w:rPr>
          <w:rFonts w:ascii="Times New Roman" w:hAnsi="Times New Roman"/>
          <w:sz w:val="24"/>
          <w:szCs w:val="24"/>
        </w:rPr>
        <w:t xml:space="preserve">%), </w:t>
      </w:r>
      <w:r>
        <w:rPr>
          <w:rFonts w:ascii="Times New Roman" w:hAnsi="Times New Roman"/>
          <w:sz w:val="24"/>
          <w:szCs w:val="24"/>
        </w:rPr>
        <w:t>превышение планового значение сложилось в связи с увеличением цен на подакцизные товары и увеличением объема реализации товаров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Налоги на прибыль, доходы поступили в бюджет поселения в виде налога на доход физических лиц в сумме </w:t>
      </w:r>
      <w:r>
        <w:rPr>
          <w:rFonts w:ascii="Times New Roman" w:hAnsi="Times New Roman"/>
          <w:sz w:val="24"/>
          <w:szCs w:val="24"/>
        </w:rPr>
        <w:t>762 443,11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4,15</w:t>
      </w:r>
      <w:r>
        <w:rPr>
          <w:rFonts w:ascii="Times New Roman" w:hAnsi="Times New Roman"/>
          <w:sz w:val="24"/>
          <w:szCs w:val="24"/>
        </w:rPr>
        <w:t xml:space="preserve">%) или </w:t>
      </w:r>
      <w:r>
        <w:rPr>
          <w:rFonts w:ascii="Times New Roman" w:hAnsi="Times New Roman"/>
          <w:sz w:val="24"/>
          <w:szCs w:val="24"/>
        </w:rPr>
        <w:t>135,95</w:t>
      </w:r>
      <w:r>
        <w:rPr>
          <w:rFonts w:ascii="Times New Roman" w:hAnsi="Times New Roman"/>
          <w:sz w:val="24"/>
          <w:szCs w:val="24"/>
        </w:rPr>
        <w:t>% планового годового значения (</w:t>
      </w:r>
      <w:r>
        <w:rPr>
          <w:rFonts w:ascii="Times New Roman" w:hAnsi="Times New Roman"/>
          <w:sz w:val="24"/>
          <w:szCs w:val="24"/>
        </w:rPr>
        <w:t>560 806,69</w:t>
      </w:r>
      <w:r>
        <w:rPr>
          <w:rFonts w:ascii="Times New Roman" w:hAnsi="Times New Roman"/>
          <w:sz w:val="24"/>
          <w:szCs w:val="24"/>
        </w:rPr>
        <w:t xml:space="preserve"> рублей). </w:t>
      </w:r>
      <w:r>
        <w:rPr>
          <w:rFonts w:ascii="Times New Roman" w:hAnsi="Times New Roman"/>
          <w:sz w:val="24"/>
          <w:szCs w:val="24"/>
        </w:rPr>
        <w:t>Превышение планового значения сложилось в связи с увеличением ФОТ.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Налоги на совокупный доход поступил в местный бюджет в виде поступления средств единого сельскохозяйственного налога в сумме </w:t>
      </w:r>
      <w:r>
        <w:rPr>
          <w:rFonts w:ascii="Times New Roman" w:hAnsi="Times New Roman"/>
          <w:sz w:val="24"/>
          <w:szCs w:val="24"/>
        </w:rPr>
        <w:t>15 913,50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0,09</w:t>
      </w:r>
      <w:r>
        <w:rPr>
          <w:rFonts w:ascii="Times New Roman" w:hAnsi="Times New Roman"/>
          <w:sz w:val="24"/>
          <w:szCs w:val="24"/>
        </w:rPr>
        <w:t>%) или в объеме планового значения.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пошлина поступила в сумме 1 </w:t>
      </w:r>
      <w:r>
        <w:rPr>
          <w:rFonts w:ascii="Times New Roman" w:hAnsi="Times New Roman"/>
          <w:sz w:val="24"/>
          <w:szCs w:val="24"/>
        </w:rPr>
        <w:t>300,00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0,0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%) в объеме планового значения.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Поступление неналоговых доходов беспечно в сумме </w:t>
      </w:r>
      <w:r>
        <w:rPr>
          <w:rFonts w:ascii="Times New Roman" w:hAnsi="Times New Roman"/>
          <w:sz w:val="24"/>
          <w:szCs w:val="24"/>
        </w:rPr>
        <w:t>1 950 838,88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10,65</w:t>
      </w:r>
      <w:r>
        <w:rPr>
          <w:rFonts w:ascii="Times New Roman" w:hAnsi="Times New Roman"/>
          <w:sz w:val="24"/>
          <w:szCs w:val="24"/>
        </w:rPr>
        <w:t>%) или 100,</w:t>
      </w:r>
      <w:r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% планового значения.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источником неналоговых доходов является поступление дохода от использования имущества находящегося в государственной и муниципальной собственности </w:t>
      </w:r>
      <w:r>
        <w:rPr>
          <w:rFonts w:ascii="Times New Roman" w:hAnsi="Times New Roman"/>
          <w:sz w:val="24"/>
          <w:szCs w:val="24"/>
        </w:rPr>
        <w:t xml:space="preserve">(доля в структуре неналоговых доходов 61,12%) </w:t>
      </w:r>
      <w:r>
        <w:rPr>
          <w:rFonts w:ascii="Times New Roman" w:hAnsi="Times New Roman"/>
          <w:sz w:val="24"/>
          <w:szCs w:val="24"/>
        </w:rPr>
        <w:t>в объеме 1 </w:t>
      </w:r>
      <w:r>
        <w:rPr>
          <w:rFonts w:ascii="Times New Roman" w:hAnsi="Times New Roman"/>
          <w:sz w:val="24"/>
          <w:szCs w:val="24"/>
        </w:rPr>
        <w:t>192 260,47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6,51</w:t>
      </w:r>
      <w:r>
        <w:rPr>
          <w:rFonts w:ascii="Times New Roman" w:hAnsi="Times New Roman"/>
          <w:sz w:val="24"/>
          <w:szCs w:val="24"/>
        </w:rPr>
        <w:t>%) или 100,</w:t>
      </w:r>
      <w:r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% планового значения. Поступили платежи от предоставления в аренду помещений, земельных участков. </w:t>
      </w:r>
      <w:r>
        <w:rPr>
          <w:rFonts w:ascii="Times New Roman" w:hAnsi="Times New Roman"/>
          <w:i/>
          <w:iCs/>
          <w:sz w:val="24"/>
          <w:szCs w:val="24"/>
        </w:rPr>
        <w:t xml:space="preserve">Задолженность по оплате по договорам аренды земельных участков составила </w:t>
      </w:r>
      <w:r>
        <w:rPr>
          <w:rFonts w:ascii="Times New Roman" w:hAnsi="Times New Roman"/>
          <w:i/>
          <w:iCs/>
          <w:sz w:val="24"/>
          <w:szCs w:val="24"/>
        </w:rPr>
        <w:t xml:space="preserve">439 966,67 </w:t>
      </w:r>
      <w:r>
        <w:rPr>
          <w:rFonts w:ascii="Times New Roman" w:hAnsi="Times New Roman"/>
          <w:i/>
          <w:iCs/>
          <w:sz w:val="24"/>
          <w:szCs w:val="24"/>
        </w:rPr>
        <w:t xml:space="preserve">рублей </w:t>
      </w:r>
      <w:r>
        <w:rPr>
          <w:rFonts w:ascii="Times New Roman" w:hAnsi="Times New Roman"/>
          <w:i/>
          <w:iCs/>
          <w:sz w:val="24"/>
          <w:szCs w:val="24"/>
        </w:rPr>
        <w:t>(КФХ Денисенко)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Доходы от оказания платных услуг и компенсации затрат  поступили в сумме </w:t>
      </w:r>
      <w:r>
        <w:rPr>
          <w:rFonts w:ascii="Times New Roman" w:hAnsi="Times New Roman"/>
          <w:sz w:val="24"/>
          <w:szCs w:val="24"/>
        </w:rPr>
        <w:t xml:space="preserve">210,00 </w:t>
      </w:r>
      <w:r>
        <w:rPr>
          <w:rFonts w:ascii="Times New Roman" w:hAnsi="Times New Roman"/>
          <w:sz w:val="24"/>
          <w:szCs w:val="24"/>
        </w:rPr>
        <w:t xml:space="preserve">рублей или </w:t>
      </w:r>
      <w:r>
        <w:rPr>
          <w:rFonts w:ascii="Times New Roman" w:hAnsi="Times New Roman"/>
          <w:sz w:val="24"/>
          <w:szCs w:val="24"/>
        </w:rPr>
        <w:t>100,00</w:t>
      </w:r>
      <w:r>
        <w:rPr>
          <w:rFonts w:ascii="Times New Roman" w:hAnsi="Times New Roman"/>
          <w:sz w:val="24"/>
          <w:szCs w:val="24"/>
        </w:rPr>
        <w:t xml:space="preserve">% планового значения. </w:t>
      </w:r>
      <w:r>
        <w:rPr>
          <w:rFonts w:ascii="Times New Roman" w:hAnsi="Times New Roman"/>
          <w:sz w:val="24"/>
          <w:szCs w:val="24"/>
          <w:shd w:fill="auto" w:val="clear"/>
        </w:rPr>
        <w:t>По данным пояснительной записки поступил</w:t>
      </w:r>
      <w:r>
        <w:rPr>
          <w:rFonts w:ascii="Times New Roman" w:hAnsi="Times New Roman"/>
          <w:sz w:val="24"/>
          <w:szCs w:val="24"/>
          <w:shd w:fill="auto" w:val="clear"/>
        </w:rPr>
        <w:t>и доходы в порядке возмещения расходов, понесенных в связи с эксплуатацией имущества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. 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Штрафы, санкции, возмещение вреда поступили в местный бюджет в сумме </w:t>
      </w:r>
      <w:r>
        <w:rPr>
          <w:rFonts w:ascii="Times New Roman" w:hAnsi="Times New Roman"/>
          <w:sz w:val="24"/>
          <w:szCs w:val="24"/>
        </w:rPr>
        <w:t>180 002,08</w:t>
      </w:r>
      <w:r>
        <w:rPr>
          <w:rFonts w:ascii="Times New Roman" w:hAnsi="Times New Roman"/>
          <w:sz w:val="24"/>
          <w:szCs w:val="24"/>
        </w:rPr>
        <w:t>рублей (доля в структуре доходов 0,</w:t>
      </w:r>
      <w:r>
        <w:rPr>
          <w:rFonts w:ascii="Times New Roman" w:hAnsi="Times New Roman"/>
          <w:sz w:val="24"/>
          <w:szCs w:val="24"/>
        </w:rPr>
        <w:t>98</w:t>
      </w:r>
      <w:r>
        <w:rPr>
          <w:rFonts w:ascii="Times New Roman" w:hAnsi="Times New Roman"/>
          <w:sz w:val="24"/>
          <w:szCs w:val="24"/>
        </w:rPr>
        <w:t xml:space="preserve">%) или в объеме планового значения.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По данным пояснительной записки поступили платежи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auto" w:val="clear"/>
          <w:em w:val="none"/>
        </w:rPr>
        <w:t>у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Прочие неналоговые платежи поступили в бюджет в сумме 578 366,33 рублей (доля в структуре доходов 3,16%), в том числе инициативные платежи в сумме 578 000,00 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структуре доходов поселения доходы в виде </w:t>
      </w:r>
      <w:r>
        <w:rPr>
          <w:rFonts w:ascii="Times New Roman" w:hAnsi="Times New Roman"/>
          <w:b/>
          <w:bCs/>
          <w:sz w:val="24"/>
          <w:szCs w:val="24"/>
        </w:rPr>
        <w:t>безвозмездных поступлений</w:t>
      </w:r>
      <w:r>
        <w:rPr>
          <w:rFonts w:ascii="Times New Roman" w:hAnsi="Times New Roman"/>
          <w:sz w:val="24"/>
          <w:szCs w:val="24"/>
        </w:rPr>
        <w:t xml:space="preserve"> из других бюджетов бюджетной системы РФ составляют </w:t>
      </w:r>
      <w:r>
        <w:rPr>
          <w:rFonts w:ascii="Times New Roman" w:hAnsi="Times New Roman"/>
          <w:sz w:val="24"/>
          <w:szCs w:val="24"/>
        </w:rPr>
        <w:t>71,51</w:t>
      </w:r>
      <w:r>
        <w:rPr>
          <w:rFonts w:ascii="Times New Roman" w:hAnsi="Times New Roman"/>
          <w:sz w:val="24"/>
          <w:szCs w:val="24"/>
        </w:rPr>
        <w:t xml:space="preserve">%. Плановые показатели исполнены на 100,00%, поступило в сумме </w:t>
      </w:r>
      <w:r>
        <w:rPr>
          <w:rFonts w:ascii="Times New Roman" w:hAnsi="Times New Roman"/>
          <w:sz w:val="24"/>
          <w:szCs w:val="24"/>
        </w:rPr>
        <w:t>13 101 382,02</w:t>
      </w:r>
      <w:r>
        <w:rPr>
          <w:rFonts w:ascii="Times New Roman" w:hAnsi="Times New Roman"/>
          <w:sz w:val="24"/>
          <w:szCs w:val="24"/>
        </w:rPr>
        <w:t xml:space="preserve"> рублей, а именно: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Дотации на выравнивание бюджетной поступили в сумме </w:t>
      </w:r>
      <w:r>
        <w:rPr>
          <w:rFonts w:ascii="Times New Roman" w:hAnsi="Times New Roman"/>
          <w:sz w:val="24"/>
          <w:szCs w:val="24"/>
        </w:rPr>
        <w:t>4 539 463,15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24,77</w:t>
      </w:r>
      <w:r>
        <w:rPr>
          <w:rFonts w:ascii="Times New Roman" w:hAnsi="Times New Roman"/>
          <w:sz w:val="24"/>
          <w:szCs w:val="24"/>
        </w:rPr>
        <w:t>%) или 100,00% планового значения;</w:t>
      </w:r>
    </w:p>
    <w:p>
      <w:pPr>
        <w:pStyle w:val="Normal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Субсидии бюджетам сельских поселений на развитие транспортной инфраструктуры</w:t>
      </w:r>
      <w:r>
        <w:rPr>
          <w:rFonts w:ascii="Times New Roman" w:hAnsi="Times New Roman"/>
          <w:sz w:val="24"/>
          <w:szCs w:val="24"/>
        </w:rPr>
        <w:t xml:space="preserve"> поступили в сумме </w:t>
      </w:r>
      <w:r>
        <w:rPr>
          <w:rFonts w:ascii="Times New Roman" w:hAnsi="Times New Roman"/>
          <w:sz w:val="24"/>
          <w:szCs w:val="24"/>
        </w:rPr>
        <w:t>5 105 000,00</w:t>
      </w:r>
      <w:r>
        <w:rPr>
          <w:rFonts w:ascii="Times New Roman" w:hAnsi="Times New Roman"/>
          <w:sz w:val="24"/>
          <w:szCs w:val="24"/>
        </w:rPr>
        <w:t xml:space="preserve"> рублей, доля в структуре доходов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%.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на осуществление воинского учета в  сумме </w:t>
      </w:r>
      <w:r>
        <w:rPr>
          <w:rFonts w:ascii="Times New Roman" w:hAnsi="Times New Roman"/>
          <w:sz w:val="24"/>
          <w:szCs w:val="24"/>
        </w:rPr>
        <w:t>176 839,00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0,97</w:t>
      </w:r>
      <w:r>
        <w:rPr>
          <w:rFonts w:ascii="Times New Roman" w:hAnsi="Times New Roman"/>
          <w:sz w:val="24"/>
          <w:szCs w:val="24"/>
        </w:rPr>
        <w:t>%) в объеме планового значения;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межбюджетные трансферты в сумме </w:t>
      </w:r>
      <w:r>
        <w:rPr>
          <w:rFonts w:ascii="Times New Roman" w:hAnsi="Times New Roman"/>
          <w:sz w:val="24"/>
          <w:szCs w:val="24"/>
        </w:rPr>
        <w:t>3 280 079,87</w:t>
      </w:r>
      <w:r>
        <w:rPr>
          <w:rFonts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ascii="Times New Roman" w:hAnsi="Times New Roman"/>
          <w:sz w:val="24"/>
          <w:szCs w:val="24"/>
        </w:rPr>
        <w:t>17,90</w:t>
      </w:r>
      <w:r>
        <w:rPr>
          <w:rFonts w:ascii="Times New Roman" w:hAnsi="Times New Roman"/>
          <w:sz w:val="24"/>
          <w:szCs w:val="24"/>
        </w:rPr>
        <w:t xml:space="preserve">%), в том числе на обеспечение части переданных полномочий из районного бюджета по решению вопросов местного значения в соответствии с заключенными соглашениями </w:t>
      </w:r>
      <w:r>
        <w:rPr>
          <w:rFonts w:ascii="Times New Roman" w:hAnsi="Times New Roman"/>
          <w:sz w:val="24"/>
          <w:szCs w:val="24"/>
        </w:rPr>
        <w:t xml:space="preserve">246 218,62 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прочие межбюджетныетрансферты в сумме 3 033 861,25 рублей, в том числе на</w:t>
      </w:r>
      <w:r>
        <w:rPr>
          <w:rFonts w:ascii="Times New Roman" w:hAnsi="Times New Roman"/>
          <w:b w:val="false"/>
          <w:i w:val="false"/>
          <w:caps w:val="false"/>
          <w:smallCaps w:val="false"/>
          <w:spacing w:val="0"/>
          <w:sz w:val="24"/>
          <w:szCs w:val="24"/>
        </w:rPr>
        <w:t xml:space="preserve"> реализацию инициативного проекта «Благоустройство прилегающей территории к Памятнику погибшим в годы Великой отчественной войны 1941-1945 гг. «Аллея Славы» 3</w:t>
      </w:r>
      <w:r>
        <w:rPr>
          <w:rFonts w:ascii="Times New Roman" w:hAnsi="Times New Roman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pacing w:val="0"/>
          <w:sz w:val="24"/>
          <w:szCs w:val="24"/>
        </w:rPr>
        <w:t>000</w:t>
      </w:r>
      <w:r>
        <w:rPr>
          <w:rFonts w:ascii="Times New Roman" w:hAnsi="Times New Roman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pacing w:val="0"/>
          <w:sz w:val="24"/>
          <w:szCs w:val="24"/>
        </w:rPr>
        <w:t>000,00 рублей</w:t>
      </w:r>
      <w:r>
        <w:rPr>
          <w:rFonts w:ascii="Times New Roman" w:hAnsi="Times New Roman"/>
          <w:sz w:val="24"/>
          <w:szCs w:val="24"/>
        </w:rPr>
        <w:t xml:space="preserve"> 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 w:val="false"/>
        <w:ind w:hanging="0" w:right="-1"/>
        <w:jc w:val="center"/>
        <w:rPr>
          <w:b/>
        </w:rPr>
      </w:pPr>
      <w:r>
        <w:rPr>
          <w:b/>
        </w:rPr>
        <w:t>4.Исполнение расходной части бюджета поселения за 202</w:t>
      </w:r>
      <w:r>
        <w:rPr>
          <w:b/>
        </w:rPr>
        <w:t>4</w:t>
      </w:r>
      <w:r>
        <w:rPr>
          <w:b/>
        </w:rPr>
        <w:t xml:space="preserve"> год.</w:t>
      </w:r>
    </w:p>
    <w:p>
      <w:pPr>
        <w:pStyle w:val="Normal"/>
        <w:suppressAutoHyphens w:val="false"/>
        <w:ind w:firstLine="680"/>
        <w:jc w:val="both"/>
        <w:rPr/>
      </w:pPr>
      <w:r>
        <w:rPr/>
        <w:t>В соответствии с Положением о бюджетном процессе в сельском поселении исполнение местного бюджета организуется на основе сводной бюджетной росписи местного бюджета и кассового плана исполнения местного бюджета.</w:t>
      </w:r>
    </w:p>
    <w:p>
      <w:pPr>
        <w:pStyle w:val="Normal"/>
        <w:suppressAutoHyphens w:val="false"/>
        <w:ind w:firstLine="680"/>
        <w:jc w:val="both"/>
        <w:rPr/>
      </w:pPr>
      <w:r>
        <w:rPr/>
        <w:t xml:space="preserve">Исполнение расходов бюджета поселения согласно Отчету об исполнении бюджета (ф.0503117) на 01.01.2025 года составило </w:t>
      </w:r>
      <w:r>
        <w:rPr/>
        <w:t>17 747 980,88</w:t>
      </w:r>
      <w:r>
        <w:rPr/>
        <w:t xml:space="preserve"> рублей, или </w:t>
      </w:r>
      <w:r>
        <w:rPr/>
        <w:t>98,57</w:t>
      </w:r>
      <w:r>
        <w:rPr/>
        <w:t>% уточненного плана.</w:t>
      </w:r>
    </w:p>
    <w:p>
      <w:pPr>
        <w:pStyle w:val="Normal"/>
        <w:widowControl w:val="false"/>
        <w:ind w:firstLine="709"/>
        <w:jc w:val="both"/>
        <w:rPr/>
      </w:pPr>
      <w:r>
        <w:rPr/>
        <w:t>Исполнение расходной части бюджета поселения за 202</w:t>
      </w:r>
      <w:r>
        <w:rPr/>
        <w:t>4</w:t>
      </w:r>
      <w:r>
        <w:rPr/>
        <w:t xml:space="preserve"> год характеризуется следующими показателями:                                                                                 Таблица 3</w:t>
      </w:r>
    </w:p>
    <w:tbl>
      <w:tblPr>
        <w:tblStyle w:val="af2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51"/>
        <w:gridCol w:w="1768"/>
        <w:gridCol w:w="1779"/>
        <w:gridCol w:w="1713"/>
        <w:gridCol w:w="1759"/>
      </w:tblGrid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Наименование раздела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textAlignment w:val="baseline"/>
              <w:rPr>
                <w:color w:val="auto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Утверждено Решением о бюджете на 202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 xml:space="preserve"> год, рублей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textAlignment w:val="baseline"/>
              <w:rPr>
                <w:color w:val="auto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Исполнено, Проект решения об исполнении бюджета за 202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auto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 xml:space="preserve"> год</w:t>
            </w:r>
          </w:p>
        </w:tc>
        <w:tc>
          <w:tcPr>
            <w:tcW w:w="1713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200"/>
              <w:ind w:hanging="0" w:left="0" w:right="-1"/>
              <w:contextualSpacing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Процент исполнения , %</w:t>
            </w:r>
          </w:p>
        </w:tc>
        <w:tc>
          <w:tcPr>
            <w:tcW w:w="17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200"/>
              <w:ind w:hanging="0" w:left="0" w:right="-1"/>
              <w:contextualSpacing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cs="Times New Roman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bidi="ar-SA"/>
              </w:rPr>
              <w:t>Удельный вес, в общем объеме расходов, %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0100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bookmarkStart w:id="0" w:name="OLE_LINK3"/>
            <w:bookmarkStart w:id="1" w:name="OLE_LINK4"/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Общегосударственные вопросы</w:t>
            </w:r>
            <w:bookmarkEnd w:id="0"/>
            <w:bookmarkEnd w:id="1"/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3 746 133,76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3 735 523,68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99,72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21,05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0200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Национальная оборона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176 839,00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176 839,00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0,99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0300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242 750,00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242 750,00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1,37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0400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bookmarkStart w:id="2" w:name="OLE_LINK6"/>
            <w:bookmarkStart w:id="3" w:name="OLE_LINK5"/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Национальная экономика</w:t>
            </w:r>
            <w:bookmarkEnd w:id="2"/>
            <w:bookmarkEnd w:id="3"/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6 745 767,79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6 550 106,83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97,10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36,91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5 261 805,48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5 212 533,12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99,06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29,37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0700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Образование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13 615,00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13 615,00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0,08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0800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1 276 609,51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1 275 054,52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99,88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7,18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Социальная политика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302 855,68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302 855,68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1,70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1100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238 728,05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238 728,05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1,35</w:t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b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Итого</w:t>
            </w:r>
          </w:p>
        </w:tc>
        <w:tc>
          <w:tcPr>
            <w:tcW w:w="17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b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18 005 079,27</w:t>
            </w:r>
          </w:p>
        </w:tc>
        <w:tc>
          <w:tcPr>
            <w:tcW w:w="1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b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17 747 980,88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b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98,57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right="-1"/>
              <w:jc w:val="both"/>
              <w:rPr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/>
                <w:b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ru-RU" w:bidi="ar-SA"/>
              </w:rPr>
              <w:t>100,00</w:t>
            </w:r>
          </w:p>
        </w:tc>
      </w:tr>
    </w:tbl>
    <w:p>
      <w:pPr>
        <w:pStyle w:val="Normal"/>
        <w:widowControl w:val="false"/>
        <w:ind w:firstLine="709"/>
        <w:jc w:val="both"/>
        <w:rPr/>
      </w:pPr>
      <w:r>
        <w:rPr/>
        <w:t>Основная доля расходов бюджета поселения приходится на разделы  «Национальная экономика» -</w:t>
      </w:r>
      <w:r>
        <w:rPr/>
        <w:t>36,91</w:t>
      </w:r>
      <w:r>
        <w:rPr/>
        <w:t>%, «</w:t>
      </w:r>
      <w:r>
        <w:rPr/>
        <w:t>Жилищно-коммунальное хозяйство</w:t>
      </w:r>
      <w:r>
        <w:rPr/>
        <w:t>» -</w:t>
      </w:r>
      <w:r>
        <w:rPr/>
        <w:t>29,37%</w:t>
      </w:r>
      <w:r>
        <w:rPr/>
        <w:t>, «Общегосударственные вопросы»-</w:t>
      </w:r>
      <w:r>
        <w:rPr/>
        <w:t>21,05</w:t>
      </w:r>
      <w:r>
        <w:rPr/>
        <w:t>% .</w:t>
      </w:r>
    </w:p>
    <w:p>
      <w:pPr>
        <w:pStyle w:val="Normal"/>
        <w:widowControl w:val="false"/>
        <w:ind w:firstLine="709"/>
        <w:jc w:val="both"/>
        <w:rPr/>
      </w:pPr>
      <w:r>
        <w:rPr>
          <w:shd w:fill="auto" w:val="clear"/>
        </w:rPr>
        <w:t>В струк</w:t>
      </w:r>
      <w:r>
        <w:rPr/>
        <w:t xml:space="preserve">туре расходов бюджета расходы на финансирование социально-культурной сферы имеют долю </w:t>
      </w:r>
      <w:r>
        <w:rPr/>
        <w:t>10,31</w:t>
      </w:r>
      <w:r>
        <w:rPr/>
        <w:t>% в общей структуре расходов (образование, культура, социальная политика, физическая культура и спорт).</w:t>
      </w:r>
    </w:p>
    <w:p>
      <w:pPr>
        <w:pStyle w:val="Normal"/>
        <w:widowControl w:val="false"/>
        <w:ind w:firstLine="709"/>
        <w:jc w:val="both"/>
        <w:rPr/>
      </w:pPr>
      <w:r>
        <w:rPr>
          <w:rFonts w:eastAsia="Calibri"/>
        </w:rPr>
        <w:t>Плановые назначения в 2024 году не выполнены по разделу бюджетной классификации «</w:t>
      </w:r>
      <w:r>
        <w:rPr/>
        <w:t xml:space="preserve">Национальная экономика» на </w:t>
      </w:r>
      <w:r>
        <w:rPr/>
        <w:t>2,90</w:t>
      </w:r>
      <w:r>
        <w:rPr/>
        <w:t>%, «Общегосударственные вопросы» на 0,</w:t>
      </w:r>
      <w:r>
        <w:rPr/>
        <w:t>28</w:t>
      </w:r>
      <w:r>
        <w:rPr/>
        <w:t xml:space="preserve">%, «Культура, кинематография»  на </w:t>
      </w:r>
      <w:r>
        <w:rPr/>
        <w:t>0,12</w:t>
      </w:r>
      <w:r>
        <w:rPr/>
        <w:t>%, «Жилищно-комунальное хозяйство» на 0,9</w:t>
      </w:r>
      <w:r>
        <w:rPr/>
        <w:t>4</w:t>
      </w:r>
      <w:r>
        <w:rPr/>
        <w:t>%. По данным Сведения об исполнении бюджета (ф.0503164) причиной отклонений от планового задания явилась оплата работ «по факту» на основании актов выполненных работ.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>Исполнение расходов в течение отчетного периода осуществлялось программным методом.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>На исполнение публичных нормативных обязательств направлено 302 855,68 рублей.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Расходы по разделу </w:t>
      </w:r>
      <w:r>
        <w:rPr>
          <w:b/>
          <w:bCs/>
        </w:rPr>
        <w:t xml:space="preserve">«Общегосударственные вопросы» </w:t>
      </w:r>
      <w:r>
        <w:rPr/>
        <w:t xml:space="preserve">составили </w:t>
      </w:r>
      <w:r>
        <w:rPr/>
        <w:t>3 735 523,68</w:t>
      </w:r>
      <w:r>
        <w:rPr/>
        <w:t xml:space="preserve"> рублей (доля в структуре расходов </w:t>
      </w:r>
      <w:r>
        <w:rPr/>
        <w:t>21,05</w:t>
      </w:r>
      <w:r>
        <w:rPr/>
        <w:t>%) или 99,</w:t>
      </w:r>
      <w:r>
        <w:rPr/>
        <w:t>72</w:t>
      </w:r>
      <w:r>
        <w:rPr/>
        <w:t>% планового значения (</w:t>
      </w:r>
      <w:r>
        <w:rPr/>
        <w:t>3 746 133,76</w:t>
      </w:r>
      <w:r>
        <w:rPr/>
        <w:t xml:space="preserve"> рублей), в том числе по подразделу «Функционирование высшего должностного лица муниципального образования» в сумме 1 </w:t>
      </w:r>
      <w:r>
        <w:rPr/>
        <w:t>031 131,38</w:t>
      </w:r>
      <w:r>
        <w:rPr/>
        <w:t xml:space="preserve"> рублей (средства направлены на выплату заработной платы главе поселения);</w:t>
      </w:r>
    </w:p>
    <w:p>
      <w:pPr>
        <w:pStyle w:val="Normal"/>
        <w:widowControl w:val="false"/>
        <w:ind w:firstLine="709"/>
        <w:jc w:val="both"/>
        <w:rPr/>
      </w:pPr>
      <w:r>
        <w:rPr/>
        <w:t>По подразделу «</w:t>
      </w:r>
      <w:r>
        <w:rPr>
          <w:color w:val="000000"/>
          <w:sz w:val="25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/>
        <w:t xml:space="preserve">» объем исполнения составил </w:t>
      </w:r>
      <w:r>
        <w:rPr/>
        <w:t>2 663 262,30</w:t>
      </w:r>
      <w:r>
        <w:rPr/>
        <w:t xml:space="preserve"> рублей или 99,</w:t>
      </w:r>
      <w:r>
        <w:rPr/>
        <w:t>60</w:t>
      </w:r>
      <w:r>
        <w:rPr/>
        <w:t>% планового значения (</w:t>
      </w:r>
      <w:r>
        <w:rPr/>
        <w:t>2 673 872,38</w:t>
      </w:r>
      <w:r>
        <w:rPr/>
        <w:t xml:space="preserve"> рублей). Средства направлены на обеспечение полномочий администраци</w:t>
      </w:r>
      <w:r>
        <w:rPr/>
        <w:t>и</w:t>
      </w:r>
      <w:r>
        <w:rPr/>
        <w:t xml:space="preserve"> поселения (оплата труда, обеспечение техникой, оплату коммунальных услуг, прочие расходы); иных межбюджетных трансфертов по части переданных полномочий из бюджета поселения бюджету муниципального района в соответствии с заключенными соглашениями в сумме 427 658,00 рублей; межбюджетные трансферты передаваемые из бюджета района в бюджет поселения в сумме </w:t>
      </w:r>
      <w:r>
        <w:rPr/>
        <w:t>9 796,00</w:t>
      </w:r>
      <w:r>
        <w:rPr/>
        <w:t xml:space="preserve"> рублей.   В процессе проверки проведен анализ соблюдения установленных Правительством Омской области Постановлением от 23.11.2023 № 627-п нормативов формирования расходов на содержание органа местного самоуправления, нарушений не установлено.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подразделу «Другие общегосударственные вопросы» произведены расходы в сумме </w:t>
      </w:r>
      <w:r>
        <w:rPr/>
        <w:t>41 130</w:t>
      </w:r>
      <w:r>
        <w:rPr/>
        <w:t xml:space="preserve">,00 рублей или 100,00% планового значения. Расходы направлены на </w:t>
      </w:r>
      <w:r>
        <w:rPr/>
        <w:t>государственную регистрацию права муниципальной собственности на объекты недвижимости в сумме 2 730,00 рублей, п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риобретение программного продукта для взаимодействия с Росреестром при постановке объектов недвижимости на кадастровый учет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22 400,00 рублей</w:t>
      </w:r>
      <w:r>
        <w:rPr/>
        <w:t xml:space="preserve">; на проведение мероприятий по новогоднему оформлению поселка в сумме </w:t>
      </w:r>
      <w:r>
        <w:rPr/>
        <w:t>16</w:t>
      </w:r>
      <w:r>
        <w:rPr/>
        <w:t xml:space="preserve"> 000,00 рублей.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 </w:t>
      </w:r>
      <w:r>
        <w:rPr/>
        <w:t xml:space="preserve">По разделу </w:t>
      </w:r>
      <w:r>
        <w:rPr>
          <w:b/>
          <w:bCs/>
        </w:rPr>
        <w:t>«Национальная оборона»</w:t>
      </w:r>
      <w:r>
        <w:rPr/>
        <w:t xml:space="preserve"> расходы исполнены в сумме </w:t>
      </w:r>
      <w:r>
        <w:rPr/>
        <w:t>176 839</w:t>
      </w:r>
      <w:r>
        <w:rPr/>
        <w:t xml:space="preserve">,00 рублей (доля в структуре расходов </w:t>
      </w:r>
      <w:r>
        <w:rPr/>
        <w:t>0,99</w:t>
      </w:r>
      <w:r>
        <w:rPr/>
        <w:t>%) или 100,00 % планового значения. Средства направлены на обеспечение первичного воинского учета поселения (оплата заработной платы сотруднику).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  <w:bCs/>
        </w:rPr>
        <w:t>«Национальная безопасность и правоохранительная деятельность»</w:t>
      </w:r>
      <w:r>
        <w:rPr/>
        <w:t xml:space="preserve"> произведены расходы в сумме  </w:t>
      </w:r>
      <w:r>
        <w:rPr/>
        <w:t>550 106,83</w:t>
      </w:r>
      <w:r>
        <w:rPr/>
        <w:t xml:space="preserve"> рублей (доля в структуре расходов </w:t>
      </w:r>
      <w:r>
        <w:rPr/>
        <w:t>1,37</w:t>
      </w:r>
      <w:r>
        <w:rPr/>
        <w:t xml:space="preserve">%) на обеспечение пожарной безопасности. Средства направлены на устройство противопожарных минерализованных полос, </w:t>
      </w:r>
      <w:r>
        <w:rPr/>
        <w:t>приобретение ГСМ, техобслуживание огнетушителей</w:t>
      </w:r>
      <w:r>
        <w:rPr/>
        <w:t>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  <w:bCs/>
        </w:rPr>
        <w:t>«Национальная экономика»</w:t>
      </w:r>
      <w:r>
        <w:rPr/>
        <w:t xml:space="preserve"> произведены расходы в сумме </w:t>
      </w:r>
      <w:r>
        <w:rPr/>
        <w:t>6 550 106,83</w:t>
      </w:r>
      <w:r>
        <w:rPr/>
        <w:t xml:space="preserve"> рублей (доля в структуре расходов </w:t>
      </w:r>
      <w:r>
        <w:rPr/>
        <w:t>36,91</w:t>
      </w:r>
      <w:r>
        <w:rPr/>
        <w:t xml:space="preserve">%)  или </w:t>
      </w:r>
      <w:r>
        <w:rPr/>
        <w:t>97,10</w:t>
      </w:r>
      <w:r>
        <w:rPr/>
        <w:t>% планового значения (</w:t>
      </w:r>
      <w:r>
        <w:rPr/>
        <w:t>6 550 106,83</w:t>
      </w:r>
      <w:r>
        <w:rPr/>
        <w:t xml:space="preserve"> рублей), в том числе: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подразделу «Общеэкономические вопросы» в сумме </w:t>
      </w:r>
      <w:r>
        <w:rPr/>
        <w:t>22 957,21</w:t>
      </w:r>
      <w:r>
        <w:rPr/>
        <w:t xml:space="preserve"> рублей на организацию временного трудоустройства несовершеннолетних граждан в возрасте от 14 до 18 лет в свободное от учебы время;</w:t>
      </w:r>
    </w:p>
    <w:p>
      <w:pPr>
        <w:pStyle w:val="Normal"/>
        <w:widowControl w:val="false"/>
        <w:ind w:firstLine="709"/>
        <w:jc w:val="both"/>
        <w:rPr/>
      </w:pPr>
      <w:r>
        <w:rPr/>
        <w:t>по подразделй «Сельское хозяйство и рыболовство» 67 964,40 рублей, средства направлены на содержание малых форм хозяйствования (по данным пояснительной записки на ведение первичной документации и составление отчетности по закупу молока в ЛПХ);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подразделу «Дорожное хозяйство (дорожные фонды)» в сумме </w:t>
      </w:r>
      <w:r>
        <w:rPr/>
        <w:t xml:space="preserve">6 459 185,22 </w:t>
      </w:r>
      <w:r>
        <w:rPr/>
        <w:t xml:space="preserve">рублей или </w:t>
      </w:r>
      <w:r>
        <w:rPr/>
        <w:t>97,06</w:t>
      </w:r>
      <w:r>
        <w:rPr/>
        <w:t>% планового значения (</w:t>
      </w:r>
      <w:r>
        <w:rPr/>
        <w:t>6 654 846,18</w:t>
      </w:r>
      <w:r>
        <w:rPr/>
        <w:t xml:space="preserve"> рублей), средства направлены на содержание </w:t>
      </w:r>
      <w:r>
        <w:rPr/>
        <w:t>внутрипоселковых автомобильных дорог и сооружений на них</w:t>
      </w:r>
      <w:r>
        <w:rPr/>
        <w:t xml:space="preserve"> в сумме </w:t>
      </w:r>
      <w:r>
        <w:rPr/>
        <w:t>956 542,62</w:t>
      </w:r>
      <w:r>
        <w:rPr/>
        <w:t xml:space="preserve"> рублей (очистка дорог от снега, обкос, грейдирование), </w:t>
      </w:r>
      <w:r>
        <w:rPr/>
        <w:t xml:space="preserve">капитальный и ямочный ремонт внутрипоселковых дорог и сооружений на них в сумме 8 000,00 рублей или 3,93% планового значения (203 660,96 рублей) </w:t>
      </w:r>
      <w:r>
        <w:rPr/>
        <w:t>низкое исполнение объясняется проведение расходов пофактической потребности</w:t>
      </w:r>
      <w:r>
        <w:rPr/>
        <w:t xml:space="preserve">; </w:t>
      </w:r>
      <w:r>
        <w:rPr/>
        <w:t xml:space="preserve">капитальный ремонт дороги в с.Новоильиновка , ул.Долиной в сумме 5 </w:t>
      </w:r>
      <w:r>
        <w:rPr/>
        <w:t>494 642,60</w:t>
      </w:r>
      <w:r>
        <w:rPr/>
        <w:t xml:space="preserve"> рублей</w:t>
      </w:r>
      <w:r>
        <w:rPr/>
        <w:t xml:space="preserve">. 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</w:rPr>
        <w:t>«Жилищно-коммунальное хозяйство»</w:t>
      </w:r>
      <w:r>
        <w:rPr/>
        <w:t xml:space="preserve"> произведены расходы в сумме </w:t>
      </w:r>
      <w:r>
        <w:rPr/>
        <w:t>5 212 533,12</w:t>
      </w:r>
      <w:r>
        <w:rPr/>
        <w:t xml:space="preserve">   рублей (доля в структуре расходов </w:t>
      </w:r>
      <w:r>
        <w:rPr/>
        <w:t>29,37</w:t>
      </w:r>
      <w:r>
        <w:rPr/>
        <w:t>%) или 99,0</w:t>
      </w:r>
      <w:r>
        <w:rPr/>
        <w:t>6</w:t>
      </w:r>
      <w:r>
        <w:rPr/>
        <w:t>% планового значения (</w:t>
      </w:r>
      <w:r>
        <w:rPr/>
        <w:t xml:space="preserve">4 961 805,48 </w:t>
      </w:r>
      <w:r>
        <w:rPr/>
        <w:t>рублей), в том числе: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подразделу «Благоустройство» в сумме </w:t>
      </w:r>
      <w:r>
        <w:rPr/>
        <w:t>4 912 533,12</w:t>
      </w:r>
      <w:r>
        <w:rPr/>
        <w:t xml:space="preserve"> рублей или </w:t>
      </w:r>
      <w:r>
        <w:rPr/>
        <w:t>99,0</w:t>
      </w:r>
      <w:r>
        <w:rPr/>
        <w:t>1% планового значения (</w:t>
      </w:r>
      <w:r>
        <w:rPr/>
        <w:t>4 961 805,48</w:t>
      </w:r>
      <w:r>
        <w:rPr/>
        <w:t xml:space="preserve"> рублей), средства направлены на содержание и реконструкцию объектов уличного освещения в сумме </w:t>
      </w:r>
      <w:r>
        <w:rPr/>
        <w:t>278 628,64</w:t>
      </w:r>
      <w:r>
        <w:rPr/>
        <w:t xml:space="preserve"> рублей </w:t>
      </w:r>
      <w:r>
        <w:rPr/>
        <w:t>или 84,97% планового значения</w:t>
      </w:r>
      <w:r>
        <w:rPr/>
        <w:t xml:space="preserve">, в том числе услуги электроснабжения </w:t>
      </w:r>
      <w:r>
        <w:rPr/>
        <w:t>107 724,24</w:t>
      </w:r>
      <w:r>
        <w:rPr/>
        <w:t xml:space="preserve"> рублей; озеленение территории </w:t>
      </w:r>
      <w:r>
        <w:rPr/>
        <w:t>9 300</w:t>
      </w:r>
      <w:r>
        <w:rPr/>
        <w:t xml:space="preserve">,00 рублей; </w:t>
      </w:r>
      <w:r>
        <w:rPr/>
        <w:t>повышение уровня благоустройств</w:t>
      </w:r>
      <w:r>
        <w:rPr/>
        <w:t xml:space="preserve">а </w:t>
      </w:r>
      <w:r>
        <w:rPr/>
        <w:t>поселения</w:t>
      </w:r>
      <w:r>
        <w:rPr/>
        <w:t xml:space="preserve"> в сумме </w:t>
      </w:r>
      <w:r>
        <w:rPr/>
        <w:t>479 250,17</w:t>
      </w:r>
      <w:r>
        <w:rPr/>
        <w:t xml:space="preserve"> рублей, </w:t>
      </w:r>
      <w:r>
        <w:rPr/>
        <w:t>в том числе оплата труда рабочих по благоустройству 339 787,22 рублей</w:t>
      </w:r>
      <w:r>
        <w:rPr/>
        <w:t xml:space="preserve">;  проведение мероприятий по борьбе с наркосодержащими растениями в сумме </w:t>
      </w:r>
      <w:r>
        <w:rPr/>
        <w:t>10 0</w:t>
      </w:r>
      <w:r>
        <w:rPr/>
        <w:t>00,00 рублей.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В рамках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еализаци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проекта "Формирование комфортной городской среды на территории Новоильиновского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направлено 4 135 354,31 рублей, в том числе по данным пояснительной записки на оплату работ по реализации инициативного проекта Благоустройство прилегающей территории к Памятнику воинам-землякам, погибшим в годы Великой Отечественной войны 1941-1945 гг. "Аллея Славы" -3 578 000,00 руб.</w:t>
      </w:r>
    </w:p>
    <w:p>
      <w:pPr>
        <w:pStyle w:val="Normal"/>
        <w:ind w:firstLine="340" w:right="0"/>
        <w:jc w:val="both"/>
        <w:rPr>
          <w:sz w:val="24"/>
          <w:szCs w:val="24"/>
        </w:rPr>
      </w:pPr>
      <w:r>
        <w:rPr>
          <w:sz w:val="24"/>
          <w:szCs w:val="24"/>
        </w:rPr>
        <w:t>- укладк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тротуарной плитки в рамках реализации инициативного проекта Благоустройство прилегающей территории к Памятнику воинам-землякам, погибшим в годы Великой Отечественной войны 1941-1945 гг. "Аллея Славы" 459 685,07 рублей</w:t>
      </w:r>
    </w:p>
    <w:p>
      <w:pPr>
        <w:pStyle w:val="Normal"/>
        <w:ind w:firstLine="340" w:right="0"/>
        <w:jc w:val="both"/>
        <w:rPr>
          <w:sz w:val="24"/>
          <w:szCs w:val="24"/>
        </w:rPr>
      </w:pPr>
      <w:r>
        <w:rPr>
          <w:sz w:val="24"/>
          <w:szCs w:val="24"/>
        </w:rPr>
        <w:t>- установк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стеллы в рамках инициативного проекта Благоустройство прилегающей территории к Памятнику воинам-землякам, погибшим в годы Великой Отечественной войны 1941-1945 гг. "Аллея Славы" 85 769,24 руб.</w:t>
      </w:r>
    </w:p>
    <w:p>
      <w:pPr>
        <w:pStyle w:val="Normal"/>
        <w:widowControl w:val="false"/>
        <w:suppressAutoHyphens w:val="true"/>
        <w:bidi w:val="0"/>
        <w:spacing w:before="0" w:after="0"/>
        <w:ind w:firstLine="340" w:left="0" w:right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- обрезку и вывоз деревьев и кустарников вокруг памятника  11 900,00 рублей.</w:t>
      </w:r>
    </w:p>
    <w:p>
      <w:pPr>
        <w:pStyle w:val="Normal"/>
        <w:ind w:firstLine="340"/>
        <w:jc w:val="both"/>
        <w:rPr/>
      </w:pPr>
      <w:r>
        <w:rPr/>
        <w:t>по подразделу «</w:t>
      </w:r>
      <w:r>
        <w:rPr/>
        <w:t>Другие вопросы в области жилищно-коммунального хозяйства</w:t>
      </w:r>
      <w:r>
        <w:rPr/>
        <w:t xml:space="preserve">» в сумме </w:t>
      </w:r>
      <w:r>
        <w:rPr/>
        <w:t>300 000,00</w:t>
      </w:r>
      <w:r>
        <w:rPr/>
        <w:t xml:space="preserve"> рублей </w:t>
      </w:r>
      <w:r>
        <w:rPr/>
        <w:t>направлены на возмещение убытков бани.</w:t>
      </w:r>
    </w:p>
    <w:p>
      <w:pPr>
        <w:pStyle w:val="Normal"/>
        <w:ind w:firstLine="340"/>
        <w:jc w:val="both"/>
        <w:rPr/>
      </w:pPr>
      <w:r>
        <w:rPr/>
        <w:t xml:space="preserve">По разделу </w:t>
      </w:r>
      <w:r>
        <w:rPr>
          <w:b/>
          <w:bCs/>
        </w:rPr>
        <w:t xml:space="preserve">«Образование» </w:t>
      </w:r>
      <w:r>
        <w:rPr>
          <w:b w:val="false"/>
          <w:bCs w:val="false"/>
        </w:rPr>
        <w:t>исполнение бюдджетных назначений сложилось в сумме 13 650,00 рублей и направлено на организацию оздоровления и отдыха несовершеннолетних детей и молодежи, в том числе на выплату премии 2 000,00 рублей и приобретение ГСМ.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</w:rPr>
        <w:t>«Культура, кинематография»</w:t>
      </w:r>
      <w:r>
        <w:rPr/>
        <w:t xml:space="preserve"> бюджетные назначения исполнены в сумме </w:t>
      </w:r>
      <w:r>
        <w:rPr/>
        <w:t>1 275 054,52</w:t>
      </w:r>
      <w:r>
        <w:rPr/>
        <w:t xml:space="preserve"> рублей (доля в структуре расходов </w:t>
      </w:r>
      <w:r>
        <w:rPr/>
        <w:t>7,18</w:t>
      </w:r>
      <w:r>
        <w:rPr/>
        <w:t xml:space="preserve">%) или </w:t>
      </w:r>
      <w:r>
        <w:rPr/>
        <w:t>99,88</w:t>
      </w:r>
      <w:r>
        <w:rPr/>
        <w:t>% планового значения (</w:t>
      </w:r>
      <w:r>
        <w:rPr/>
        <w:t>1 276 609,51</w:t>
      </w:r>
      <w:r>
        <w:rPr/>
        <w:t xml:space="preserve"> рублей). Средства направлены проведение мероприятий в области культуры в сумме </w:t>
      </w:r>
      <w:r>
        <w:rPr/>
        <w:t xml:space="preserve">71 929,00 </w:t>
      </w:r>
      <w:r>
        <w:rPr/>
        <w:t xml:space="preserve">рублей, в том числе на выплаты премии в сумме </w:t>
      </w:r>
      <w:r>
        <w:rPr/>
        <w:t>21 400</w:t>
      </w:r>
      <w:r>
        <w:rPr/>
        <w:t xml:space="preserve">,00 рублей, приобретение подарочной продукции, приобретение ГСМ; 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на содержание муниципального имущества в сумме </w:t>
      </w:r>
      <w:r>
        <w:rPr/>
        <w:t>1 203 125,52</w:t>
      </w:r>
      <w:r>
        <w:rPr/>
        <w:t xml:space="preserve"> рублей, в том числе на покупку услуг по электроэнергии в сумме </w:t>
      </w:r>
      <w:r>
        <w:rPr/>
        <w:t>778 685,27</w:t>
      </w:r>
      <w:r>
        <w:rPr/>
        <w:t xml:space="preserve"> рублей, </w:t>
      </w:r>
      <w:r>
        <w:rPr/>
        <w:t xml:space="preserve">ремонт памятника в с.Новоильиновка в сумме 117 688,61 рублей, </w:t>
      </w:r>
      <w:r>
        <w:rPr/>
        <w:t xml:space="preserve">возмещение части затрат на электрическое отопление помещений клуба 164 209,70 рублей, </w:t>
      </w:r>
      <w:r>
        <w:rPr/>
        <w:t xml:space="preserve">оплату коммунальных услуг связи, теплоснабжения, обращения ТКО, уплату налога. 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</w:rPr>
        <w:t>«Социальная политика»</w:t>
      </w:r>
      <w:r>
        <w:rPr/>
        <w:t xml:space="preserve"> исполнено в сумме </w:t>
      </w:r>
      <w:r>
        <w:rPr/>
        <w:t>302 855,68</w:t>
      </w:r>
      <w:r>
        <w:rPr/>
        <w:t xml:space="preserve"> рублей (доля в структуре расходов </w:t>
      </w:r>
      <w:r>
        <w:rPr/>
        <w:t>1,70</w:t>
      </w:r>
      <w:r>
        <w:rPr/>
        <w:t xml:space="preserve">%) или 100,00% планового значения. Средства направлены на выплату пенсии за выслугу лет служащим, замещавшим муниципальные должности в поселении в сумме </w:t>
      </w:r>
      <w:r>
        <w:rPr/>
        <w:t>292 855,68</w:t>
      </w:r>
      <w:r>
        <w:rPr/>
        <w:t xml:space="preserve"> рублей; на оказание материальной помощи в связи с пожар</w:t>
      </w:r>
      <w:r>
        <w:rPr/>
        <w:t>ом</w:t>
      </w:r>
      <w:r>
        <w:rPr/>
        <w:t xml:space="preserve"> жил</w:t>
      </w:r>
      <w:r>
        <w:rPr/>
        <w:t>ого</w:t>
      </w:r>
      <w:r>
        <w:rPr/>
        <w:t xml:space="preserve"> дом</w:t>
      </w:r>
      <w:r>
        <w:rPr/>
        <w:t>а в сумме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10</w:t>
      </w:r>
      <w:r>
        <w:rPr/>
        <w:t xml:space="preserve"> 000,00 рублей из средств резервного фонда администрации  </w:t>
      </w:r>
      <w:r>
        <w:rPr/>
        <w:t>(распоряжение от 18.04.2024г №22)</w:t>
      </w:r>
      <w:r>
        <w:rPr/>
        <w:t>.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По разделу </w:t>
      </w:r>
      <w:r>
        <w:rPr>
          <w:b/>
        </w:rPr>
        <w:t>«Физическая культура и спорт»</w:t>
      </w:r>
      <w:r>
        <w:rPr/>
        <w:t xml:space="preserve"> исполнено в сумме </w:t>
      </w:r>
      <w:r>
        <w:rPr/>
        <w:t>238 728,05</w:t>
      </w:r>
      <w:r>
        <w:rPr/>
        <w:t xml:space="preserve"> рублей (доля в структуре расходов 1,</w:t>
      </w:r>
      <w:r>
        <w:rPr/>
        <w:t>35</w:t>
      </w:r>
      <w:r>
        <w:rPr/>
        <w:t xml:space="preserve">%) или 100,00% планового значения. Средства направлены на выплату премии спортсменам в сумме </w:t>
      </w:r>
      <w:r>
        <w:rPr/>
        <w:t>137 700,00</w:t>
      </w:r>
      <w:r>
        <w:rPr/>
        <w:t xml:space="preserve"> рублей, обеспечения питанием участников соревнований </w:t>
      </w:r>
      <w:r>
        <w:rPr/>
        <w:t>21 475,00</w:t>
      </w:r>
      <w:r>
        <w:rPr/>
        <w:t xml:space="preserve"> рублей, приобретение ГСМ, основных средств </w:t>
      </w:r>
      <w:r>
        <w:rPr/>
        <w:t>(винтовка пневматическая, лыжи с палками 5 пар)</w:t>
      </w:r>
      <w:r>
        <w:rPr/>
        <w:t xml:space="preserve"> </w:t>
      </w:r>
      <w:r>
        <w:rPr/>
        <w:t>32 080,00</w:t>
      </w:r>
      <w:r>
        <w:rPr/>
        <w:t xml:space="preserve"> рублей, </w:t>
      </w:r>
      <w:r>
        <w:rPr/>
        <w:t>прочих материальных запасов 68 948,05 рублей</w:t>
      </w:r>
    </w:p>
    <w:p>
      <w:pPr>
        <w:pStyle w:val="Normal"/>
        <w:widowControl w:val="false"/>
        <w:ind w:firstLine="709"/>
        <w:jc w:val="both"/>
        <w:rPr/>
      </w:pPr>
      <w:r>
        <w:rPr/>
        <w:t>Бюджетные и денежные обязательства в отчетном году принимались в пределах утвержденного объема бюджетных ассигнований и лимитов бюджетных обязательств.</w:t>
      </w:r>
    </w:p>
    <w:p>
      <w:pPr>
        <w:pStyle w:val="Normal"/>
        <w:widowControl w:val="false"/>
        <w:ind w:right="-1"/>
        <w:jc w:val="center"/>
        <w:rPr>
          <w:rFonts w:eastAsia="Calibri"/>
          <w:b/>
        </w:rPr>
      </w:pPr>
      <w:r>
        <w:rPr>
          <w:rFonts w:eastAsia="Calibri"/>
          <w:b/>
        </w:rPr>
      </w:r>
    </w:p>
    <w:p>
      <w:pPr>
        <w:pStyle w:val="Normal"/>
        <w:widowControl w:val="false"/>
        <w:ind w:hanging="0" w:right="-1"/>
        <w:jc w:val="center"/>
        <w:rPr>
          <w:rFonts w:eastAsia="Calibri"/>
          <w:b/>
        </w:rPr>
      </w:pPr>
      <w:r>
        <w:rPr>
          <w:rFonts w:eastAsia="Calibri"/>
          <w:b/>
        </w:rPr>
        <w:t>5.Источики внутреннего финансирования дефицита бюджета поселения.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соответствии с решением Совета депутатов </w:t>
      </w:r>
      <w:r>
        <w:rPr>
          <w:color w:val="333333"/>
        </w:rPr>
        <w:t>Новоильинов</w:t>
      </w:r>
      <w:r>
        <w:rPr>
          <w:rFonts w:eastAsia="Calibri"/>
        </w:rPr>
        <w:t xml:space="preserve">ского сельского поселения  от </w:t>
      </w:r>
      <w:r>
        <w:rPr>
          <w:rFonts w:eastAsia="Calibri"/>
        </w:rPr>
        <w:t>07</w:t>
      </w:r>
      <w:r>
        <w:rPr>
          <w:rFonts w:eastAsia="Calibri"/>
        </w:rPr>
        <w:t>.1</w:t>
      </w:r>
      <w:r>
        <w:rPr>
          <w:rFonts w:eastAsia="Calibri"/>
        </w:rPr>
        <w:t>2</w:t>
      </w:r>
      <w:r>
        <w:rPr>
          <w:rFonts w:eastAsia="Calibri"/>
        </w:rPr>
        <w:t>.202</w:t>
      </w:r>
      <w:r>
        <w:rPr>
          <w:rFonts w:eastAsia="Calibri"/>
        </w:rPr>
        <w:t>3</w:t>
      </w:r>
      <w:r>
        <w:rPr>
          <w:rFonts w:eastAsia="Calibri"/>
        </w:rPr>
        <w:t xml:space="preserve"> № </w:t>
      </w:r>
      <w:r>
        <w:rPr>
          <w:rFonts w:eastAsia="Calibri"/>
        </w:rPr>
        <w:t>62</w:t>
      </w:r>
      <w:r>
        <w:rPr>
          <w:rFonts w:eastAsia="Calibri"/>
        </w:rPr>
        <w:t xml:space="preserve"> главным администратором источников внутреннего финансирования дефицита бюджета утверждена Администрация </w:t>
      </w:r>
      <w:r>
        <w:rPr>
          <w:color w:val="333333"/>
        </w:rPr>
        <w:t>Новоильинов</w:t>
      </w:r>
      <w:r>
        <w:rPr>
          <w:rFonts w:eastAsia="Calibri"/>
        </w:rPr>
        <w:t xml:space="preserve">ского сельского поселения. </w:t>
      </w:r>
    </w:p>
    <w:p>
      <w:pPr>
        <w:pStyle w:val="Normal"/>
        <w:widowControl w:val="false"/>
        <w:ind w:firstLine="709"/>
        <w:jc w:val="both"/>
        <w:rPr>
          <w:rFonts w:eastAsia="Calibri"/>
          <w:color w:val="FF0000"/>
        </w:rPr>
      </w:pPr>
      <w:r>
        <w:rPr>
          <w:rFonts w:eastAsia="Calibri"/>
        </w:rPr>
        <w:t>Первоначально бюджет поселения на 202</w:t>
      </w:r>
      <w:r>
        <w:rPr>
          <w:rFonts w:eastAsia="Calibri"/>
        </w:rPr>
        <w:t>4</w:t>
      </w:r>
      <w:r>
        <w:rPr>
          <w:rFonts w:eastAsia="Calibri"/>
        </w:rPr>
        <w:t xml:space="preserve"> год был утвержден сбалансированным по доходам и расходам.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Уточненным бюджетом  поселения утвержден прогнозируемый </w:t>
      </w:r>
      <w:r>
        <w:rPr>
          <w:rFonts w:eastAsia="Calibri"/>
        </w:rPr>
        <w:t>про</w:t>
      </w:r>
      <w:r>
        <w:rPr>
          <w:rFonts w:eastAsia="Calibri"/>
        </w:rPr>
        <w:t xml:space="preserve">фицит бюджета </w:t>
      </w:r>
      <w:r>
        <w:rPr>
          <w:color w:val="333333"/>
        </w:rPr>
        <w:t>Новоильинов</w:t>
      </w:r>
      <w:r>
        <w:rPr>
          <w:rFonts w:eastAsia="Calibri"/>
        </w:rPr>
        <w:t>ского сельского поселения  на 202</w:t>
      </w:r>
      <w:r>
        <w:rPr>
          <w:rFonts w:eastAsia="Calibri"/>
        </w:rPr>
        <w:t>4</w:t>
      </w:r>
      <w:r>
        <w:rPr>
          <w:rFonts w:eastAsia="Calibri"/>
        </w:rPr>
        <w:t xml:space="preserve"> год в сумме </w:t>
      </w:r>
      <w:r>
        <w:rPr>
          <w:rFonts w:eastAsia="Calibri"/>
        </w:rPr>
        <w:t>55 976,26</w:t>
      </w:r>
      <w:r>
        <w:rPr>
          <w:rFonts w:eastAsia="Calibri"/>
        </w:rPr>
        <w:t xml:space="preserve"> рублей.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>По данным отчета об исполнении бюджета (ф.0503117) в 202</w:t>
      </w:r>
      <w:r>
        <w:rPr>
          <w:rFonts w:eastAsia="Calibri"/>
        </w:rPr>
        <w:t>4</w:t>
      </w:r>
      <w:r>
        <w:rPr>
          <w:rFonts w:eastAsia="Calibri"/>
        </w:rPr>
        <w:t xml:space="preserve"> году бюджет поселения исполнен с </w:t>
      </w:r>
      <w:r>
        <w:rPr>
          <w:rFonts w:eastAsia="Calibri"/>
        </w:rPr>
        <w:t>(превышением доходов над расходами) про</w:t>
      </w:r>
      <w:r>
        <w:rPr>
          <w:rFonts w:eastAsia="Calibri"/>
        </w:rPr>
        <w:t xml:space="preserve">фицитом в сумме </w:t>
      </w:r>
      <w:r>
        <w:rPr>
          <w:rFonts w:eastAsia="Calibri"/>
        </w:rPr>
        <w:t>572 329,15</w:t>
      </w:r>
      <w:r>
        <w:rPr>
          <w:rFonts w:eastAsia="Calibri"/>
        </w:rPr>
        <w:t xml:space="preserve"> рублей, </w:t>
      </w:r>
      <w:bookmarkStart w:id="4" w:name="OLE_LINK19"/>
      <w:bookmarkStart w:id="5" w:name="OLE_LINK20"/>
      <w:r>
        <w:rPr>
          <w:rFonts w:eastAsia="Calibri"/>
        </w:rPr>
        <w:t>который направлен на у</w:t>
      </w:r>
      <w:r>
        <w:rPr>
          <w:rFonts w:eastAsia="Calibri"/>
        </w:rPr>
        <w:t>велич</w:t>
      </w:r>
      <w:r>
        <w:rPr>
          <w:rFonts w:eastAsia="Calibri"/>
        </w:rPr>
        <w:t>ение остатков средств местного бюджета. (Остаток средств на 01.01.202</w:t>
      </w:r>
      <w:r>
        <w:rPr>
          <w:rFonts w:eastAsia="Calibri"/>
        </w:rPr>
        <w:t>5</w:t>
      </w:r>
      <w:r>
        <w:rPr>
          <w:rFonts w:eastAsia="Calibri"/>
        </w:rPr>
        <w:t xml:space="preserve"> г составил </w:t>
      </w:r>
      <w:r>
        <w:rPr>
          <w:rFonts w:eastAsia="Calibri"/>
        </w:rPr>
        <w:t>1 818 980,22</w:t>
      </w:r>
      <w:r>
        <w:rPr>
          <w:rFonts w:eastAsia="Calibri"/>
          <w:sz w:val="24"/>
          <w:szCs w:val="24"/>
        </w:rPr>
        <w:t xml:space="preserve"> рублей</w:t>
      </w:r>
      <w:r>
        <w:rPr>
          <w:rFonts w:eastAsia="Calibri"/>
        </w:rPr>
        <w:t xml:space="preserve">) </w:t>
      </w:r>
      <w:bookmarkEnd w:id="4"/>
      <w:bookmarkEnd w:id="5"/>
    </w:p>
    <w:p>
      <w:pPr>
        <w:pStyle w:val="Normal"/>
        <w:ind w:firstLine="709"/>
        <w:jc w:val="both"/>
        <w:rPr/>
      </w:pPr>
      <w:r>
        <w:rPr/>
        <w:t>Муниципальный внутренний долг бюджета поселения по состоянию на 01.01.202</w:t>
      </w:r>
      <w:r>
        <w:rPr/>
        <w:t>5</w:t>
      </w:r>
      <w:r>
        <w:rPr/>
        <w:t>г отсутствовал.</w:t>
      </w:r>
    </w:p>
    <w:p>
      <w:pPr>
        <w:pStyle w:val="Normal"/>
        <w:ind w:firstLine="709"/>
        <w:jc w:val="both"/>
        <w:rPr/>
      </w:pPr>
      <w:r>
        <w:rPr/>
        <w:t>Администрацией сельского поселения в 202</w:t>
      </w:r>
      <w:r>
        <w:rPr/>
        <w:t>4</w:t>
      </w:r>
      <w:r>
        <w:rPr/>
        <w:t xml:space="preserve"> году муниципальные гарантии предприятиям и организациям не представлялись.</w:t>
      </w:r>
    </w:p>
    <w:p>
      <w:pPr>
        <w:pStyle w:val="Normal"/>
        <w:jc w:val="both"/>
        <w:rPr>
          <w:rFonts w:eastAsia="Calibri"/>
        </w:rPr>
      </w:pPr>
      <w:r>
        <w:rPr>
          <w:rFonts w:eastAsia="Calibri"/>
        </w:rPr>
      </w:r>
    </w:p>
    <w:p>
      <w:pPr>
        <w:pStyle w:val="Normal"/>
        <w:jc w:val="center"/>
        <w:rPr>
          <w:b/>
        </w:rPr>
      </w:pPr>
      <w:r>
        <w:rPr>
          <w:b/>
        </w:rPr>
        <w:t>6.Анализ расходования средств резервного фонда администрации сельского поселения</w:t>
      </w:r>
    </w:p>
    <w:p>
      <w:pPr>
        <w:pStyle w:val="Normal"/>
        <w:ind w:firstLine="709"/>
        <w:jc w:val="both"/>
        <w:rPr/>
      </w:pPr>
      <w:r>
        <w:rPr/>
        <w:t>Согласно отчета об использовании бюджетных ассигнований резервного фонда выплаты в 202</w:t>
      </w:r>
      <w:r>
        <w:rPr/>
        <w:t>4</w:t>
      </w:r>
      <w:r>
        <w:rPr/>
        <w:t xml:space="preserve"> году   </w:t>
      </w:r>
      <w:r>
        <w:rPr/>
        <w:t>произведены в сумме 10 000,00 рублей в соответствии с Порядком формировнаия и использования резервного фонда Администрации Новоильиновского сельского поселения</w:t>
      </w:r>
      <w:r>
        <w:rPr/>
        <w:t xml:space="preserve">.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7</w:t>
      </w:r>
      <w:r>
        <w:rPr>
          <w:b/>
        </w:rPr>
        <w:t xml:space="preserve">.Анализ расходования средств дорожного фонда бюджета </w:t>
      </w:r>
      <w:r>
        <w:rPr>
          <w:b/>
          <w:color w:val="333333"/>
        </w:rPr>
        <w:t>Новоильинов</w:t>
      </w:r>
      <w:r>
        <w:rPr>
          <w:b/>
        </w:rPr>
        <w:t>ского сельского поселения</w:t>
      </w:r>
    </w:p>
    <w:p>
      <w:pPr>
        <w:pStyle w:val="Normal"/>
        <w:ind w:firstLine="709"/>
        <w:jc w:val="both"/>
        <w:rPr/>
      </w:pPr>
      <w:r>
        <w:rPr/>
        <w:t>Остаток Дорожного фонда на 01.01.202</w:t>
      </w:r>
      <w:r>
        <w:rPr/>
        <w:t>4</w:t>
      </w:r>
      <w:r>
        <w:rPr/>
        <w:t xml:space="preserve">г составил </w:t>
      </w:r>
      <w:r>
        <w:rPr>
          <w:sz w:val="24"/>
          <w:szCs w:val="24"/>
          <w:shd w:fill="auto" w:val="clear"/>
        </w:rPr>
        <w:t>617 341,56</w:t>
      </w:r>
      <w:r>
        <w:rPr/>
        <w:t xml:space="preserve"> 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 </w:t>
      </w:r>
      <w:r>
        <w:rPr>
          <w:rFonts w:ascii="Times New Roman" w:hAnsi="Times New Roman"/>
          <w:i w:val="false"/>
          <w:iCs w:val="false"/>
          <w:sz w:val="24"/>
          <w:szCs w:val="24"/>
        </w:rPr>
        <w:t>П</w:t>
      </w:r>
      <w:r>
        <w:rPr>
          <w:rFonts w:ascii="Times New Roman" w:hAnsi="Times New Roman"/>
          <w:i w:val="false"/>
          <w:iCs w:val="false"/>
          <w:sz w:val="24"/>
          <w:szCs w:val="24"/>
        </w:rPr>
        <w:t>оступлени</w:t>
      </w:r>
      <w:r>
        <w:rPr>
          <w:rFonts w:ascii="Times New Roman" w:hAnsi="Times New Roman"/>
          <w:i w:val="false"/>
          <w:iCs w:val="false"/>
          <w:sz w:val="24"/>
          <w:szCs w:val="24"/>
        </w:rPr>
        <w:t>е</w:t>
      </w: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 доходов от акцизов на нефтепродукты выполнены в сумме </w:t>
      </w:r>
      <w:bookmarkStart w:id="6" w:name="OLE_LINK9"/>
      <w:bookmarkStart w:id="7" w:name="OLE_LINK10"/>
      <w:r>
        <w:rPr>
          <w:rFonts w:ascii="Times New Roman" w:hAnsi="Times New Roman"/>
          <w:i w:val="false"/>
          <w:iCs w:val="false"/>
          <w:sz w:val="24"/>
          <w:szCs w:val="24"/>
        </w:rPr>
        <w:t>6</w:t>
      </w:r>
      <w:bookmarkEnd w:id="6"/>
      <w:bookmarkEnd w:id="7"/>
      <w:r>
        <w:rPr>
          <w:rFonts w:ascii="Times New Roman" w:hAnsi="Times New Roman"/>
          <w:i w:val="false"/>
          <w:iCs w:val="false"/>
          <w:sz w:val="24"/>
          <w:szCs w:val="24"/>
        </w:rPr>
        <w:t>99 365,05</w:t>
      </w: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 рублей, </w:t>
      </w:r>
      <w:r>
        <w:rPr>
          <w:rFonts w:ascii="Times New Roman" w:hAnsi="Times New Roman"/>
          <w:i w:val="false"/>
          <w:iCs w:val="false"/>
          <w:sz w:val="24"/>
          <w:szCs w:val="24"/>
        </w:rPr>
        <w:t>с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убсидии бюджетам на развитие транспортной инфраструктуры на сельских территориях поступили в сумме 5 105 000,00 рублей,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м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</w:rPr>
        <w:t xml:space="preserve"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на содержание автодорог 236 422,62 рублей.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Расходы дорожного фонда составили </w:t>
      </w:r>
      <w:r>
        <w:rPr>
          <w:rFonts w:ascii="Times New Roman" w:hAnsi="Times New Roman"/>
          <w:sz w:val="24"/>
          <w:szCs w:val="24"/>
        </w:rPr>
        <w:t>6 459 185,22</w:t>
      </w:r>
      <w:bookmarkStart w:id="8" w:name="OLE_LINK29"/>
      <w:bookmarkStart w:id="9" w:name="OLE_LINK12"/>
      <w:bookmarkStart w:id="10" w:name="OLE_LINK11"/>
      <w:bookmarkStart w:id="11" w:name="OLE_LINK22"/>
      <w:bookmarkStart w:id="12" w:name="OLE_LINK21"/>
      <w:bookmarkStart w:id="13" w:name="OLE_LINK28"/>
      <w:r>
        <w:rPr>
          <w:rFonts w:ascii="Times New Roman" w:hAnsi="Times New Roman"/>
          <w:sz w:val="24"/>
          <w:szCs w:val="24"/>
        </w:rPr>
        <w:t xml:space="preserve"> </w:t>
      </w:r>
      <w:bookmarkEnd w:id="9"/>
      <w:bookmarkEnd w:id="10"/>
      <w:r>
        <w:rPr>
          <w:rFonts w:ascii="Times New Roman" w:hAnsi="Times New Roman"/>
          <w:sz w:val="24"/>
          <w:szCs w:val="24"/>
        </w:rPr>
        <w:t xml:space="preserve">рублей </w:t>
      </w:r>
      <w:bookmarkEnd w:id="8"/>
      <w:bookmarkEnd w:id="11"/>
      <w:bookmarkEnd w:id="12"/>
      <w:bookmarkEnd w:id="13"/>
      <w:r>
        <w:rPr>
          <w:rFonts w:eastAsia="Noto Sans CJK SC"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средств на едином счете поселения на конец отчетного периода составил 1 </w:t>
      </w:r>
      <w:r>
        <w:rPr>
          <w:rFonts w:ascii="Times New Roman" w:hAnsi="Times New Roman"/>
          <w:sz w:val="24"/>
          <w:szCs w:val="24"/>
        </w:rPr>
        <w:t>818 980,22</w:t>
      </w:r>
      <w:r>
        <w:rPr>
          <w:rFonts w:ascii="Times New Roman" w:hAnsi="Times New Roman"/>
          <w:sz w:val="24"/>
          <w:szCs w:val="24"/>
        </w:rPr>
        <w:t xml:space="preserve"> рублей, из них средства дорожного фонда</w:t>
      </w:r>
      <w:bookmarkStart w:id="14" w:name="OLE_LINK7"/>
      <w:bookmarkStart w:id="15" w:name="OLE_LINK8"/>
      <w:bookmarkStart w:id="16" w:name="OLE_LINK25"/>
      <w:r>
        <w:rPr>
          <w:rFonts w:ascii="Times New Roman" w:hAnsi="Times New Roman"/>
          <w:sz w:val="24"/>
          <w:szCs w:val="24"/>
          <w:shd w:fill="auto" w:val="clear"/>
        </w:rPr>
        <w:t xml:space="preserve"> </w:t>
      </w:r>
      <w:bookmarkEnd w:id="14"/>
      <w:bookmarkEnd w:id="15"/>
      <w:bookmarkEnd w:id="16"/>
      <w:r>
        <w:rPr>
          <w:rFonts w:ascii="Times New Roman" w:hAnsi="Times New Roman"/>
          <w:sz w:val="24"/>
          <w:szCs w:val="24"/>
          <w:shd w:fill="auto" w:val="clear"/>
        </w:rPr>
        <w:t xml:space="preserve">216 943,71 </w:t>
      </w:r>
      <w:r>
        <w:rPr>
          <w:rFonts w:ascii="Times New Roman" w:hAnsi="Times New Roman"/>
          <w:sz w:val="24"/>
          <w:szCs w:val="24"/>
        </w:rPr>
        <w:t xml:space="preserve">рублей (остаток </w:t>
      </w:r>
      <w:r>
        <w:rPr>
          <w:rFonts w:ascii="Times New Roman" w:hAnsi="Times New Roman"/>
          <w:sz w:val="24"/>
          <w:szCs w:val="24"/>
          <w:shd w:fill="auto" w:val="clear"/>
        </w:rPr>
        <w:t>6</w:t>
      </w:r>
      <w:r>
        <w:rPr>
          <w:rFonts w:ascii="Times New Roman" w:hAnsi="Times New Roman"/>
          <w:sz w:val="24"/>
          <w:szCs w:val="24"/>
          <w:shd w:fill="auto" w:val="clear"/>
        </w:rPr>
        <w:t>617 341,56</w:t>
      </w:r>
      <w:r>
        <w:rPr>
          <w:rFonts w:ascii="Times New Roman" w:hAnsi="Times New Roman"/>
          <w:sz w:val="24"/>
          <w:szCs w:val="24"/>
        </w:rPr>
        <w:t xml:space="preserve">+ акцизы </w:t>
      </w:r>
      <w:bookmarkStart w:id="17" w:name="OLE_LINK9_Копия_1"/>
      <w:bookmarkStart w:id="18" w:name="OLE_LINK10_Копия_1"/>
      <w:r>
        <w:rPr>
          <w:rFonts w:ascii="Times New Roman" w:hAnsi="Times New Roman"/>
          <w:i w:val="false"/>
          <w:iCs w:val="false"/>
          <w:sz w:val="24"/>
          <w:szCs w:val="24"/>
        </w:rPr>
        <w:t>6</w:t>
      </w:r>
      <w:bookmarkEnd w:id="17"/>
      <w:bookmarkEnd w:id="18"/>
      <w:r>
        <w:rPr>
          <w:rFonts w:ascii="Times New Roman" w:hAnsi="Times New Roman"/>
          <w:i w:val="false"/>
          <w:iCs w:val="false"/>
          <w:sz w:val="24"/>
          <w:szCs w:val="24"/>
        </w:rPr>
        <w:t>99 365,05</w:t>
      </w:r>
      <w:r>
        <w:rPr>
          <w:rFonts w:ascii="Times New Roman" w:hAnsi="Times New Roman"/>
          <w:sz w:val="24"/>
          <w:szCs w:val="24"/>
        </w:rPr>
        <w:t xml:space="preserve"> + имт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236 422,62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+субсидии 5 105 000,00</w:t>
      </w:r>
      <w:r>
        <w:rPr>
          <w:rFonts w:ascii="Times New Roman" w:hAnsi="Times New Roman"/>
          <w:sz w:val="24"/>
          <w:szCs w:val="24"/>
        </w:rPr>
        <w:t xml:space="preserve"> -расход </w:t>
      </w:r>
      <w:r>
        <w:rPr>
          <w:rFonts w:ascii="Times New Roman" w:hAnsi="Times New Roman"/>
          <w:sz w:val="24"/>
          <w:szCs w:val="24"/>
        </w:rPr>
        <w:t>6 459 185,22</w:t>
      </w:r>
      <w:r>
        <w:rPr>
          <w:rFonts w:ascii="Times New Roman" w:hAnsi="Times New Roman"/>
          <w:sz w:val="24"/>
          <w:szCs w:val="24"/>
        </w:rPr>
        <w:t xml:space="preserve">).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709"/>
        <w:jc w:val="both"/>
        <w:rPr>
          <w:b/>
        </w:rPr>
      </w:pPr>
      <w:r>
        <w:rPr>
          <w:b/>
        </w:rPr>
        <w:t>8</w:t>
      </w:r>
      <w:r>
        <w:rPr>
          <w:b/>
        </w:rPr>
        <w:t xml:space="preserve">. Результаты внешней проверки годовой бюджетной отчетности </w:t>
      </w:r>
      <w:r>
        <w:rPr>
          <w:b/>
          <w:color w:val="333333"/>
        </w:rPr>
        <w:t>Новоильинов</w:t>
      </w:r>
      <w:r>
        <w:rPr>
          <w:b/>
        </w:rPr>
        <w:t>ского сельского поселения.</w:t>
      </w:r>
    </w:p>
    <w:p>
      <w:pPr>
        <w:pStyle w:val="Normal"/>
        <w:ind w:firstLine="709"/>
        <w:jc w:val="both"/>
        <w:rPr/>
      </w:pPr>
      <w:r>
        <w:rPr/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 предоставленной главным администратором доходов бюджета, администратора источника финансирования дефицита  бюджета, главного распорядителя, получателя бюджетных средств: Администрацией   </w:t>
      </w:r>
      <w:r>
        <w:rPr>
          <w:color w:val="333333"/>
        </w:rPr>
        <w:t>Новоильинов</w:t>
      </w:r>
      <w:r>
        <w:rPr/>
        <w:t>ского сельского поселения.</w:t>
      </w:r>
    </w:p>
    <w:p>
      <w:pPr>
        <w:pStyle w:val="Normal"/>
        <w:ind w:firstLine="709"/>
        <w:jc w:val="both"/>
        <w:rPr/>
      </w:pPr>
      <w:r>
        <w:rPr/>
        <w:t xml:space="preserve">По результатам внешней проверки бюджетной отчетности составлено Заключение № </w:t>
      </w:r>
      <w:r>
        <w:rPr/>
        <w:t>13</w:t>
      </w:r>
      <w:r>
        <w:rPr/>
        <w:t xml:space="preserve"> от 2</w:t>
      </w:r>
      <w:r>
        <w:rPr/>
        <w:t>6</w:t>
      </w:r>
      <w:r>
        <w:rPr/>
        <w:t>.0</w:t>
      </w:r>
      <w:r>
        <w:rPr/>
        <w:t>3</w:t>
      </w:r>
      <w:r>
        <w:rPr/>
        <w:t>.202</w:t>
      </w:r>
      <w:r>
        <w:rPr/>
        <w:t>5</w:t>
      </w:r>
      <w:r>
        <w:rPr/>
        <w:t xml:space="preserve"> г. В результате проверки отчетность признана достоверной, нарушения и расхождения не выявлены.</w:t>
      </w:r>
    </w:p>
    <w:p>
      <w:pPr>
        <w:pStyle w:val="Normal"/>
        <w:jc w:val="center"/>
        <w:rPr>
          <w:b/>
        </w:rPr>
      </w:pPr>
      <w:r>
        <w:rPr>
          <w:b/>
        </w:rPr>
        <w:t>9</w:t>
      </w:r>
      <w:r>
        <w:rPr>
          <w:b/>
        </w:rPr>
        <w:t>.Выводы.</w:t>
      </w:r>
    </w:p>
    <w:p>
      <w:pPr>
        <w:pStyle w:val="ListParagraph"/>
        <w:widowControl w:val="false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/>
        <w:t xml:space="preserve">1. </w:t>
      </w:r>
      <w:r>
        <w:rPr>
          <w:rFonts w:ascii="Times New Roman" w:hAnsi="Times New Roman"/>
          <w:sz w:val="24"/>
          <w:szCs w:val="24"/>
        </w:rPr>
        <w:t xml:space="preserve">Бюджет </w:t>
      </w:r>
      <w:r>
        <w:rPr>
          <w:rFonts w:ascii="Times New Roman" w:hAnsi="Times New Roman"/>
          <w:color w:val="auto"/>
          <w:sz w:val="24"/>
          <w:szCs w:val="24"/>
        </w:rPr>
        <w:t>Новоильинов</w:t>
      </w:r>
      <w:r>
        <w:rPr>
          <w:rFonts w:ascii="Times New Roman" w:hAnsi="Times New Roman"/>
          <w:color w:val="auto"/>
          <w:sz w:val="24"/>
          <w:szCs w:val="24"/>
        </w:rPr>
        <w:t xml:space="preserve">ского </w:t>
      </w:r>
      <w:r>
        <w:rPr>
          <w:rFonts w:ascii="Times New Roman" w:hAnsi="Times New Roman"/>
          <w:sz w:val="24"/>
          <w:szCs w:val="24"/>
        </w:rPr>
        <w:t>сельского поселения за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по доходам исполнен на </w:t>
      </w:r>
      <w:r>
        <w:rPr>
          <w:rFonts w:ascii="Times New Roman" w:hAnsi="Times New Roman"/>
          <w:sz w:val="24"/>
          <w:szCs w:val="24"/>
        </w:rPr>
        <w:t>101,44</w:t>
      </w:r>
      <w:r>
        <w:rPr>
          <w:rFonts w:ascii="Times New Roman" w:hAnsi="Times New Roman"/>
          <w:sz w:val="24"/>
          <w:szCs w:val="24"/>
        </w:rPr>
        <w:t>%, поступлени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обеспечено в сумме </w:t>
      </w:r>
      <w:r>
        <w:rPr>
          <w:rFonts w:ascii="Times New Roman" w:hAnsi="Times New Roman"/>
          <w:sz w:val="24"/>
          <w:szCs w:val="24"/>
        </w:rPr>
        <w:t xml:space="preserve">18 320 310,03 </w:t>
      </w:r>
      <w:r>
        <w:rPr>
          <w:rFonts w:ascii="Times New Roman" w:hAnsi="Times New Roman"/>
          <w:sz w:val="24"/>
          <w:szCs w:val="24"/>
        </w:rPr>
        <w:t xml:space="preserve">рублей. </w:t>
      </w:r>
      <w:r>
        <w:rPr>
          <w:rFonts w:ascii="Times New Roman" w:hAnsi="Times New Roman"/>
          <w:sz w:val="24"/>
          <w:szCs w:val="24"/>
        </w:rPr>
        <w:t xml:space="preserve">Структура доходного источника состоит из налоговых и неналоговых доходов 28,49% и безвозмездных поступлений 71,51%. </w:t>
      </w:r>
      <w:r>
        <w:rPr>
          <w:rFonts w:ascii="Times New Roman" w:hAnsi="Times New Roman"/>
          <w:sz w:val="24"/>
          <w:szCs w:val="24"/>
        </w:rPr>
        <w:t xml:space="preserve">Основным источником </w:t>
      </w:r>
      <w:r>
        <w:rPr>
          <w:rFonts w:ascii="Times New Roman" w:hAnsi="Times New Roman"/>
          <w:sz w:val="24"/>
          <w:szCs w:val="24"/>
        </w:rPr>
        <w:t xml:space="preserve">налоговых и неналоговых </w:t>
      </w:r>
      <w:r>
        <w:rPr>
          <w:rFonts w:ascii="Times New Roman" w:hAnsi="Times New Roman"/>
          <w:sz w:val="24"/>
          <w:szCs w:val="24"/>
        </w:rPr>
        <w:t>доход</w:t>
      </w:r>
      <w:r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бюджета поселения являются земельный налог,  налог на доход физических лиц, налоги на товары (работы, услуги) реализуемые на территории, доходы от использования имущества находящегося в государственной и муниципальной собственности.</w:t>
      </w:r>
    </w:p>
    <w:p>
      <w:pPr>
        <w:pStyle w:val="Normal"/>
        <w:ind w:firstLine="709"/>
        <w:jc w:val="both"/>
        <w:rPr/>
      </w:pPr>
      <w:r>
        <w:rPr/>
        <w:t xml:space="preserve">2. Общая сумма недоимки по налоговым платежам в бюджет </w:t>
      </w:r>
      <w:r>
        <w:rPr>
          <w:color w:val="auto"/>
        </w:rPr>
        <w:t>Новоильинов</w:t>
      </w:r>
      <w:r>
        <w:rPr>
          <w:color w:val="auto"/>
        </w:rPr>
        <w:t>ского</w:t>
      </w:r>
      <w:r>
        <w:rPr/>
        <w:t xml:space="preserve"> сельского поселения по состоянию на 01.01.202</w:t>
      </w:r>
      <w:r>
        <w:rPr/>
        <w:t>5</w:t>
      </w:r>
      <w:r>
        <w:rPr/>
        <w:t xml:space="preserve"> года составила </w:t>
      </w:r>
      <w:r>
        <w:rPr/>
        <w:t>266 458,28</w:t>
      </w:r>
      <w:r>
        <w:rPr/>
        <w:t>рублей (земельный налог, налог на имущество физических лиц- администрат</w:t>
      </w:r>
      <w:r>
        <w:rPr/>
        <w:t>о</w:t>
      </w:r>
      <w:r>
        <w:rPr/>
        <w:t xml:space="preserve">р УФНС РФ), </w:t>
      </w:r>
      <w:r>
        <w:rPr/>
        <w:t xml:space="preserve">по неналоговым платежам задолженность в сумме 439 966,67 рублей (по договору земельного участка КФХ Денисенко)- администратор администрация Новоильиновского </w:t>
      </w:r>
      <w:r>
        <w:rPr/>
        <w:t xml:space="preserve">сельского </w:t>
      </w:r>
      <w:r>
        <w:rPr/>
        <w:t>поселения</w:t>
      </w:r>
      <w:r>
        <w:rPr/>
        <w:t>.</w:t>
      </w:r>
    </w:p>
    <w:p>
      <w:pPr>
        <w:pStyle w:val="Normal"/>
        <w:widowControl w:val="false"/>
        <w:suppressAutoHyphens w:val="true"/>
        <w:bidi w:val="0"/>
        <w:spacing w:before="0" w:after="0"/>
        <w:ind w:hanging="0" w:left="0" w:right="0"/>
        <w:jc w:val="both"/>
        <w:rPr/>
      </w:pPr>
      <w:r>
        <w:rPr/>
        <w:t xml:space="preserve">3. Расходы бюджета исполнены в сумме </w:t>
      </w:r>
      <w:r>
        <w:rPr/>
        <w:t>17 747 980,88</w:t>
      </w:r>
      <w:r>
        <w:rPr/>
        <w:t xml:space="preserve"> рублей  или </w:t>
      </w:r>
      <w:r>
        <w:rPr/>
        <w:t>98,57</w:t>
      </w:r>
      <w:r>
        <w:rPr/>
        <w:t>%.</w:t>
      </w:r>
    </w:p>
    <w:p>
      <w:pPr>
        <w:pStyle w:val="Normal"/>
        <w:widowControl w:val="false"/>
        <w:suppressAutoHyphens w:val="true"/>
        <w:bidi w:val="0"/>
        <w:spacing w:before="0" w:after="0"/>
        <w:ind w:firstLine="624" w:left="0" w:right="0"/>
        <w:jc w:val="both"/>
        <w:rPr/>
      </w:pPr>
      <w:r>
        <w:rPr/>
        <w:t>Основная доля расходов бюджета поселения приходится на разделы  «Национальная экономика» -</w:t>
      </w:r>
      <w:r>
        <w:rPr/>
        <w:t>36,91</w:t>
      </w:r>
      <w:r>
        <w:rPr/>
        <w:t>%, «</w:t>
      </w:r>
      <w:r>
        <w:rPr/>
        <w:t>Жилищно-коммунальное хозяйство</w:t>
      </w:r>
      <w:r>
        <w:rPr/>
        <w:t>» -</w:t>
      </w:r>
      <w:r>
        <w:rPr/>
        <w:t>29,37%</w:t>
      </w:r>
      <w:r>
        <w:rPr/>
        <w:t>, «Общегосударственные вопросы»-</w:t>
      </w:r>
      <w:r>
        <w:rPr/>
        <w:t>21,05</w:t>
      </w:r>
      <w:r>
        <w:rPr/>
        <w:t>% .</w:t>
      </w:r>
    </w:p>
    <w:p>
      <w:pPr>
        <w:pStyle w:val="Normal"/>
        <w:widowControl w:val="false"/>
        <w:ind w:firstLine="709"/>
        <w:jc w:val="both"/>
        <w:rPr/>
      </w:pPr>
      <w:r>
        <w:rPr>
          <w:rFonts w:eastAsia="Calibri"/>
        </w:rPr>
        <w:t>Плановые назначения в 2024 году не выполнены по разделу бюджетной классификации «</w:t>
      </w:r>
      <w:r>
        <w:rPr/>
        <w:t xml:space="preserve">Национальная экономика» на </w:t>
      </w:r>
      <w:r>
        <w:rPr/>
        <w:t>2,90</w:t>
      </w:r>
      <w:r>
        <w:rPr/>
        <w:t>%, «Общегосударственные вопросы» на 0,</w:t>
      </w:r>
      <w:r>
        <w:rPr/>
        <w:t>28</w:t>
      </w:r>
      <w:r>
        <w:rPr/>
        <w:t xml:space="preserve">%, «Культура, кинематография»  на </w:t>
      </w:r>
      <w:r>
        <w:rPr/>
        <w:t>0,12</w:t>
      </w:r>
      <w:r>
        <w:rPr/>
        <w:t>%, «Жилищно-комунальное хозяйство» на 0,9</w:t>
      </w:r>
      <w:r>
        <w:rPr/>
        <w:t>4</w:t>
      </w:r>
      <w:r>
        <w:rPr/>
        <w:t>%. По данным Сведения об исполнении бюджета (ф.0503164) причиной отклонений от планового задания явилась оплата работ «по факту» на основании актов выполненных работ.</w:t>
      </w:r>
    </w:p>
    <w:p>
      <w:pPr>
        <w:pStyle w:val="Normal"/>
        <w:widowControl w:val="false"/>
        <w:ind w:firstLine="709"/>
        <w:jc w:val="both"/>
        <w:rPr/>
      </w:pPr>
      <w:r>
        <w:rPr>
          <w:shd w:fill="auto" w:val="clear"/>
        </w:rPr>
        <w:t>В струк</w:t>
      </w:r>
      <w:r>
        <w:rPr/>
        <w:t xml:space="preserve">туре расходов бюджета расходы на финансирование социально-культурной сферы имеют долю </w:t>
      </w:r>
      <w:r>
        <w:rPr/>
        <w:t>10,31</w:t>
      </w:r>
      <w:r>
        <w:rPr/>
        <w:t>% в общей структуре расходов (образование, культура, социальная политика, физическая культура и спорт).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>Исполнение расходов  осуществлялось программным методом.</w:t>
      </w:r>
    </w:p>
    <w:p>
      <w:pPr>
        <w:pStyle w:val="Normal"/>
        <w:widowControl w:val="false"/>
        <w:ind w:firstLine="709"/>
        <w:jc w:val="both"/>
        <w:rPr/>
      </w:pPr>
      <w:r>
        <w:rPr>
          <w:rFonts w:eastAsia="Calibri"/>
        </w:rPr>
        <w:t>На исполнение публичных нормативных обязательств направлено 302 855,68 рублей.</w:t>
      </w:r>
    </w:p>
    <w:p>
      <w:pPr>
        <w:pStyle w:val="Normal"/>
        <w:widowControl w:val="false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 При исполнении бюджета поселения по завершению финансового года сложился </w:t>
      </w:r>
      <w:r>
        <w:rPr>
          <w:rFonts w:eastAsia="Calibri"/>
        </w:rPr>
        <w:t>про</w:t>
      </w:r>
      <w:r>
        <w:rPr>
          <w:rFonts w:eastAsia="Calibri"/>
        </w:rPr>
        <w:t xml:space="preserve">фицит в размере </w:t>
      </w:r>
      <w:r>
        <w:rPr>
          <w:rFonts w:eastAsia="Calibri"/>
        </w:rPr>
        <w:t>572 329,15</w:t>
      </w:r>
      <w:r>
        <w:rPr>
          <w:rFonts w:eastAsia="Calibri"/>
        </w:rPr>
        <w:t xml:space="preserve"> рублей, который направлен на у</w:t>
      </w:r>
      <w:r>
        <w:rPr>
          <w:rFonts w:eastAsia="Calibri"/>
        </w:rPr>
        <w:t>в</w:t>
      </w:r>
      <w:r>
        <w:rPr>
          <w:rFonts w:eastAsia="Calibri"/>
        </w:rPr>
        <w:t>е</w:t>
      </w:r>
      <w:r>
        <w:rPr>
          <w:rFonts w:eastAsia="Calibri"/>
        </w:rPr>
        <w:t>лич</w:t>
      </w:r>
      <w:r>
        <w:rPr>
          <w:rFonts w:eastAsia="Calibri"/>
        </w:rPr>
        <w:t xml:space="preserve">ение остатков средств местного бюджета. </w:t>
      </w:r>
    </w:p>
    <w:p>
      <w:pPr>
        <w:pStyle w:val="Normal"/>
        <w:ind w:firstLine="709"/>
        <w:jc w:val="both"/>
        <w:rPr>
          <w:rFonts w:eastAsia="Calibri"/>
        </w:rPr>
      </w:pPr>
      <w:r>
        <w:rPr>
          <w:rFonts w:eastAsia="Calibri"/>
        </w:rPr>
        <w:t>5. В 202</w:t>
      </w:r>
      <w:r>
        <w:rPr>
          <w:rFonts w:eastAsia="Calibri"/>
        </w:rPr>
        <w:t>4</w:t>
      </w:r>
      <w:r>
        <w:rPr>
          <w:rFonts w:eastAsia="Calibri"/>
        </w:rPr>
        <w:t xml:space="preserve"> году расходы муниципального дорожного фонда исполнены в объеме </w:t>
      </w:r>
      <w:r>
        <w:rPr>
          <w:rFonts w:eastAsia="Calibri"/>
        </w:rPr>
        <w:t>6 459 185,22</w:t>
      </w:r>
      <w:r>
        <w:rPr>
          <w:rFonts w:eastAsia="Calibri"/>
        </w:rPr>
        <w:t xml:space="preserve">. </w:t>
      </w:r>
      <w:r>
        <w:rPr>
          <w:rFonts w:eastAsia="Calibri"/>
        </w:rPr>
        <w:t>Согласно Отчета об использовании средст дорожного фонда с</w:t>
      </w:r>
      <w:r>
        <w:rPr>
          <w:rFonts w:eastAsia="Calibri"/>
        </w:rPr>
        <w:t>редства использованы по целевому назначению.</w:t>
      </w:r>
    </w:p>
    <w:p>
      <w:pPr>
        <w:pStyle w:val="Normal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2024 года средства резервного фонда направлены на оказание материальной помощи пострадавшему в результате пожара жилья в сумме 10 000,00 рублей, в соответвтии с распоряжением администрации поселения и Порядка использования средств резервного фонда. 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6. В результате внешней проверки бюджетная отчетность </w:t>
      </w:r>
      <w:r>
        <w:rPr>
          <w:color w:val="auto"/>
        </w:rPr>
        <w:t>Новоильинов</w:t>
      </w:r>
      <w:r>
        <w:rPr>
          <w:rFonts w:eastAsia="Calibri"/>
          <w:color w:val="auto"/>
        </w:rPr>
        <w:t xml:space="preserve">ского </w:t>
      </w:r>
      <w:r>
        <w:rPr>
          <w:rFonts w:eastAsia="Calibri"/>
        </w:rPr>
        <w:t>сельского поселения  признана достоверной.</w:t>
      </w:r>
    </w:p>
    <w:p>
      <w:pPr>
        <w:pStyle w:val="Normal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7. Проект решения Совета депутатов </w:t>
      </w:r>
      <w:r>
        <w:rPr>
          <w:color w:val="auto"/>
        </w:rPr>
        <w:t>Новоильинов</w:t>
      </w:r>
      <w:r>
        <w:rPr>
          <w:rFonts w:eastAsia="Calibri"/>
          <w:color w:val="auto"/>
        </w:rPr>
        <w:t>ског</w:t>
      </w:r>
      <w:r>
        <w:rPr>
          <w:rFonts w:eastAsia="Calibri"/>
        </w:rPr>
        <w:t>о сельского поселения «Об исполнении бюджета за 202</w:t>
      </w:r>
      <w:r>
        <w:rPr>
          <w:rFonts w:eastAsia="Calibri"/>
        </w:rPr>
        <w:t>4</w:t>
      </w:r>
      <w:r>
        <w:rPr>
          <w:rFonts w:eastAsia="Calibri"/>
        </w:rPr>
        <w:t xml:space="preserve"> год» отражает достоверно кассовое исполнение доходов, расходов и источников финансирования дефицита бюджета поселения за период с 01 января по 31 декабря 202</w:t>
      </w:r>
      <w:r>
        <w:rPr>
          <w:rFonts w:eastAsia="Calibri"/>
        </w:rPr>
        <w:t>4</w:t>
      </w:r>
      <w:r>
        <w:rPr>
          <w:rFonts w:eastAsia="Calibri"/>
        </w:rPr>
        <w:t xml:space="preserve"> года.</w:t>
      </w:r>
    </w:p>
    <w:p>
      <w:pPr>
        <w:pStyle w:val="Normal"/>
        <w:ind w:firstLine="709"/>
        <w:jc w:val="both"/>
        <w:rPr>
          <w:rFonts w:eastAsia="Calibri"/>
        </w:rPr>
      </w:pPr>
      <w:r>
        <w:rPr>
          <w:i/>
          <w:iCs/>
          <w:color w:val="000000"/>
        </w:rPr>
        <w:t xml:space="preserve">Контрольно-счетный орган муниципального образования «Полтавский муниципальный район Омской области» считает возможным рассмотрение отчета «об исполнении бюджета </w:t>
      </w:r>
      <w:r>
        <w:rPr>
          <w:i/>
          <w:iCs/>
          <w:color w:val="333333"/>
        </w:rPr>
        <w:t>Новоильинов</w:t>
      </w:r>
      <w:r>
        <w:rPr>
          <w:i/>
          <w:iCs/>
          <w:color w:val="000000"/>
        </w:rPr>
        <w:t>ского сельского  поселения за 202</w:t>
      </w:r>
      <w:r>
        <w:rPr>
          <w:i/>
          <w:iCs/>
          <w:color w:val="000000"/>
        </w:rPr>
        <w:t>4</w:t>
      </w:r>
      <w:r>
        <w:rPr>
          <w:i/>
          <w:iCs/>
          <w:color w:val="000000"/>
        </w:rPr>
        <w:t xml:space="preserve"> год» Советом депутатов поселения.</w:t>
      </w:r>
    </w:p>
    <w:p>
      <w:pPr>
        <w:pStyle w:val="Normal"/>
        <w:ind w:firstLine="709"/>
        <w:jc w:val="both"/>
        <w:rPr>
          <w:rFonts w:eastAsia="Calibri"/>
        </w:rPr>
      </w:pPr>
      <w:r>
        <w:rPr/>
      </w:r>
    </w:p>
    <w:p>
      <w:pPr>
        <w:pStyle w:val="Normal"/>
        <w:jc w:val="both"/>
        <w:rPr/>
      </w:pPr>
      <w:r>
        <w:rPr/>
        <w:t>Председатель                                                                                                     Е.В.Галаган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850" w:gutter="0" w:header="567" w:top="1134" w:footer="567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left" w:pos="782" w:leader="none"/>
        <w:tab w:val="center" w:pos="4677" w:leader="none"/>
        <w:tab w:val="right" w:pos="9355" w:leader="none"/>
      </w:tabs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82770023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33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477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549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765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8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/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/>
    </w:lvl>
    <w:lvl w:ilvl="2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/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/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/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/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/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/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0db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qFormat/>
    <w:rsid w:val="006111a4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uiPriority w:val="99"/>
    <w:qFormat/>
    <w:rsid w:val="00936eec"/>
    <w:rPr>
      <w:sz w:val="24"/>
      <w:szCs w:val="24"/>
    </w:rPr>
  </w:style>
  <w:style w:type="character" w:styleId="Style16" w:customStyle="1">
    <w:name w:val="Нижний колонтитул Знак"/>
    <w:uiPriority w:val="99"/>
    <w:qFormat/>
    <w:rsid w:val="00936eec"/>
    <w:rPr>
      <w:sz w:val="24"/>
      <w:szCs w:val="24"/>
    </w:rPr>
  </w:style>
  <w:style w:type="character" w:styleId="Strong">
    <w:name w:val="Strong"/>
    <w:qFormat/>
    <w:rsid w:val="005f4098"/>
    <w:rPr>
      <w:b/>
      <w:bCs/>
    </w:rPr>
  </w:style>
  <w:style w:type="character" w:styleId="Style17" w:customStyle="1">
    <w:name w:val="Гипертекстовая ссылка"/>
    <w:basedOn w:val="DefaultParagraphFont"/>
    <w:uiPriority w:val="99"/>
    <w:qFormat/>
    <w:rsid w:val="00154d57"/>
    <w:rPr>
      <w:color w:val="106BBE"/>
    </w:rPr>
  </w:style>
  <w:style w:type="character" w:styleId="3" w:customStyle="1">
    <w:name w:val="Основной текст с отступом 3 Знак"/>
    <w:basedOn w:val="DefaultParagraphFont"/>
    <w:qFormat/>
    <w:rsid w:val="00de4594"/>
    <w:rPr>
      <w:rFonts w:eastAsia="Calibri"/>
      <w:sz w:val="24"/>
    </w:rPr>
  </w:style>
  <w:style w:type="paragraph" w:styleId="Style18" w:customStyle="1">
    <w:name w:val="Заголовок"/>
    <w:basedOn w:val="Normal"/>
    <w:next w:val="BodyText"/>
    <w:qFormat/>
    <w:rsid w:val="009b1483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9b1483"/>
    <w:pPr>
      <w:spacing w:lineRule="auto" w:line="276" w:before="0" w:after="140"/>
    </w:pPr>
    <w:rPr/>
  </w:style>
  <w:style w:type="paragraph" w:styleId="List">
    <w:name w:val="List"/>
    <w:basedOn w:val="BodyText"/>
    <w:rsid w:val="009b1483"/>
    <w:pPr/>
    <w:rPr>
      <w:rFonts w:cs="Lohit Devanagari"/>
    </w:rPr>
  </w:style>
  <w:style w:type="paragraph" w:styleId="Caption" w:customStyle="1">
    <w:name w:val="caption"/>
    <w:basedOn w:val="Normal"/>
    <w:qFormat/>
    <w:rsid w:val="009b1483"/>
    <w:pPr>
      <w:suppressLineNumbers/>
      <w:spacing w:before="120" w:after="120"/>
    </w:pPr>
    <w:rPr>
      <w:rFonts w:cs="Lohit Devanagari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9b1483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c1033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qFormat/>
    <w:rsid w:val="006111a4"/>
    <w:pPr/>
    <w:rPr>
      <w:rFonts w:ascii="Tahoma" w:hAnsi="Tahoma"/>
      <w:sz w:val="16"/>
      <w:szCs w:val="16"/>
    </w:rPr>
  </w:style>
  <w:style w:type="paragraph" w:styleId="Style20" w:customStyle="1">
    <w:name w:val="Верхний и нижний колонтитулы"/>
    <w:basedOn w:val="Normal"/>
    <w:qFormat/>
    <w:rsid w:val="009b1483"/>
    <w:pPr/>
    <w:rPr/>
  </w:style>
  <w:style w:type="paragraph" w:styleId="Style2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 w:customStyle="1">
    <w:name w:val="header"/>
    <w:basedOn w:val="Normal"/>
    <w:uiPriority w:val="99"/>
    <w:rsid w:val="00936e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 w:customStyle="1">
    <w:name w:val="footer"/>
    <w:basedOn w:val="Normal"/>
    <w:uiPriority w:val="99"/>
    <w:rsid w:val="00936e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bb40c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21444b"/>
    <w:pPr>
      <w:spacing w:beforeAutospacing="1" w:afterAutospacing="1"/>
    </w:pPr>
    <w:rPr/>
  </w:style>
  <w:style w:type="paragraph" w:styleId="BodyTextIndent3">
    <w:name w:val="Body Text Indent 3"/>
    <w:basedOn w:val="Normal"/>
    <w:qFormat/>
    <w:rsid w:val="00de4594"/>
    <w:pPr>
      <w:ind w:hanging="142" w:left="142"/>
      <w:jc w:val="both"/>
    </w:pPr>
    <w:rPr>
      <w:rFonts w:eastAsia="Calibri"/>
      <w:szCs w:val="20"/>
    </w:rPr>
  </w:style>
  <w:style w:type="paragraph" w:styleId="Style22" w:customStyle="1">
    <w:name w:val="Содержимое таблицы"/>
    <w:basedOn w:val="Normal"/>
    <w:qFormat/>
    <w:rsid w:val="009b1483"/>
    <w:pPr>
      <w:suppressLineNumbers/>
    </w:pPr>
    <w:rPr/>
  </w:style>
  <w:style w:type="paragraph" w:styleId="Style23" w:customStyle="1">
    <w:name w:val="Заголовок таблицы"/>
    <w:basedOn w:val="Style22"/>
    <w:qFormat/>
    <w:rsid w:val="009b1483"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362503"/>
    <w:pPr>
      <w:suppressAutoHyphens w:val="false"/>
      <w:spacing w:lineRule="auto" w:line="276" w:beforeAutospacing="1" w:after="142"/>
    </w:pPr>
    <w:rPr>
      <w:color w:val="000000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e47c3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51B9-8FBC-4B06-ACE8-69FCC3E0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Application>LibreOffice/24.8.3.2$Linux_X86_64 LibreOffice_project/480$Build-2</Application>
  <AppVersion>15.0000</AppVersion>
  <Pages>9</Pages>
  <Words>3512</Words>
  <Characters>23280</Characters>
  <CharactersWithSpaces>26810</CharactersWithSpaces>
  <Paragraphs>296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2023-04-24T06:28:00Z</dcterms:created>
  <dc:creator>User</dc:creator>
  <dc:description/>
  <dc:language>ru-RU</dc:language>
  <cp:lastModifiedBy/>
  <cp:lastPrinted>2025-03-27T12:52:19Z</cp:lastPrinted>
  <dcterms:modified xsi:type="dcterms:W3CDTF">2025-03-27T16:56:31Z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